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4B6061" w:rsidRDefault="004B6061" w:rsidP="00A7286E">
      <w:bookmarkStart w:id="0" w:name="_GoBack"/>
      <w:bookmarkEnd w:id="0"/>
    </w:p>
    <w:p w:rsidR="00D32CC7" w:rsidRDefault="00A318C9" w:rsidP="00A7286E">
      <w:r w:rsidRPr="00B93F2B">
        <w:rPr>
          <w:noProof/>
          <w:lang w:eastAsia="en-AU"/>
        </w:rPr>
        <w:drawing>
          <wp:anchor distT="0" distB="0" distL="114300" distR="114300" simplePos="0" relativeHeight="251658240" behindDoc="1" locked="1" layoutInCell="0" allowOverlap="1" wp14:anchorId="5A8128AC" wp14:editId="28022D45">
            <wp:simplePos x="0" y="0"/>
            <wp:positionH relativeFrom="page">
              <wp:posOffset>0</wp:posOffset>
            </wp:positionH>
            <wp:positionV relativeFrom="page">
              <wp:posOffset>0</wp:posOffset>
            </wp:positionV>
            <wp:extent cx="7560000" cy="106920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cov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p w:rsidR="0079623D" w:rsidRDefault="0079623D" w:rsidP="00A7286E">
      <w:pPr>
        <w:sectPr w:rsidR="0079623D" w:rsidSect="00607546">
          <w:pgSz w:w="11906" w:h="16838"/>
          <w:pgMar w:top="1440" w:right="1080" w:bottom="1440" w:left="1080" w:header="454" w:footer="454" w:gutter="0"/>
          <w:cols w:space="708"/>
          <w:docGrid w:linePitch="360"/>
        </w:sectPr>
      </w:pPr>
      <w:r>
        <w:rPr>
          <w:noProof/>
          <w:lang w:eastAsia="en-AU"/>
        </w:rPr>
        <w:drawing>
          <wp:anchor distT="0" distB="0" distL="114300" distR="114300" simplePos="0" relativeHeight="251659264" behindDoc="0" locked="1" layoutInCell="0" allowOverlap="1" wp14:anchorId="768F8149" wp14:editId="7A5FC9D3">
            <wp:simplePos x="0" y="0"/>
            <wp:positionH relativeFrom="page">
              <wp:posOffset>540385</wp:posOffset>
            </wp:positionH>
            <wp:positionV relativeFrom="page">
              <wp:posOffset>9206230</wp:posOffset>
            </wp:positionV>
            <wp:extent cx="3348000" cy="946800"/>
            <wp:effectExtent l="0" t="0" r="508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v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48000" cy="946800"/>
                    </a:xfrm>
                    <a:prstGeom prst="rect">
                      <a:avLst/>
                    </a:prstGeom>
                  </pic:spPr>
                </pic:pic>
              </a:graphicData>
            </a:graphic>
            <wp14:sizeRelH relativeFrom="margin">
              <wp14:pctWidth>0</wp14:pctWidth>
            </wp14:sizeRelH>
            <wp14:sizeRelV relativeFrom="margin">
              <wp14:pctHeight>0</wp14:pctHeight>
            </wp14:sizeRelV>
          </wp:anchor>
        </w:drawing>
      </w:r>
      <w:r w:rsidR="001F3C58">
        <w:rPr>
          <w:noProof/>
          <w:lang w:eastAsia="en-AU"/>
        </w:rPr>
        <mc:AlternateContent>
          <mc:Choice Requires="wps">
            <w:drawing>
              <wp:anchor distT="0" distB="0" distL="114300" distR="114300" simplePos="0" relativeHeight="251660288" behindDoc="0" locked="1" layoutInCell="0" allowOverlap="1" wp14:anchorId="47CE8AAE" wp14:editId="59AB05C2">
                <wp:simplePos x="0" y="0"/>
                <wp:positionH relativeFrom="column">
                  <wp:posOffset>-120650</wp:posOffset>
                </wp:positionH>
                <wp:positionV relativeFrom="page">
                  <wp:posOffset>4703445</wp:posOffset>
                </wp:positionV>
                <wp:extent cx="3643630" cy="3394710"/>
                <wp:effectExtent l="0" t="0" r="13970" b="15240"/>
                <wp:wrapNone/>
                <wp:docPr id="4" name="Text Box 4"/>
                <wp:cNvGraphicFramePr/>
                <a:graphic xmlns:a="http://schemas.openxmlformats.org/drawingml/2006/main">
                  <a:graphicData uri="http://schemas.microsoft.com/office/word/2010/wordprocessingShape">
                    <wps:wsp>
                      <wps:cNvSpPr txBox="1"/>
                      <wps:spPr>
                        <a:xfrm>
                          <a:off x="0" y="0"/>
                          <a:ext cx="3643630" cy="33947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67A5" w:rsidRPr="000353EE" w:rsidRDefault="007F67A5" w:rsidP="000353EE">
                            <w:pPr>
                              <w:pStyle w:val="ReportTitle"/>
                            </w:pPr>
                            <w:r>
                              <w:t>Annual Report</w:t>
                            </w:r>
                          </w:p>
                          <w:p w:rsidR="007F67A5" w:rsidRDefault="007F67A5" w:rsidP="000353EE">
                            <w:pPr>
                              <w:pStyle w:val="ReportSubtitle"/>
                            </w:pPr>
                            <w:r>
                              <w:t>Financial Report for the year ended 30 June 2013</w:t>
                            </w:r>
                          </w:p>
                          <w:p w:rsidR="007F67A5" w:rsidRPr="000353EE" w:rsidRDefault="007F67A5" w:rsidP="000353EE">
                            <w:pPr>
                              <w:pStyle w:val="ReportSubtitle"/>
                            </w:pPr>
                            <w:r>
                              <w:t>ABN 75 002 259 154</w:t>
                            </w:r>
                          </w:p>
                          <w:p w:rsidR="007F67A5" w:rsidRDefault="007F67A5"/>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5pt;margin-top:370.35pt;width:286.9pt;height:26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" o:allowincell="f" filled="f" stroked="f" strokeweight=".5pt">
                <v:textbox inset="0,0,0,0">
                  <w:txbxContent>
                    <w:p w:rsidR="007F67A5" w:rsidRPr="000353EE" w:rsidRDefault="007F67A5" w:rsidP="000353EE">
                      <w:pPr>
                        <w:pStyle w:val="ReportTitle"/>
                      </w:pPr>
                      <w:r>
                        <w:t>Annual Report</w:t>
                      </w:r>
                    </w:p>
                    <w:p w:rsidR="007F67A5" w:rsidRDefault="007F67A5" w:rsidP="000353EE">
                      <w:pPr>
                        <w:pStyle w:val="ReportSubtitle"/>
                      </w:pPr>
                      <w:r>
                        <w:t>Financial Report for the year ended 30 June 2013</w:t>
                      </w:r>
                    </w:p>
                    <w:p w:rsidR="007F67A5" w:rsidRPr="000353EE" w:rsidRDefault="007F67A5" w:rsidP="000353EE">
                      <w:pPr>
                        <w:pStyle w:val="ReportSubtitle"/>
                      </w:pPr>
                      <w:r>
                        <w:t>ABN 75 002 259 154</w:t>
                      </w:r>
                    </w:p>
                    <w:p w:rsidR="007F67A5" w:rsidRDefault="007F67A5"/>
                  </w:txbxContent>
                </v:textbox>
                <w10:wrap anchory="page"/>
                <w10:anchorlock/>
              </v:shape>
            </w:pict>
          </mc:Fallback>
        </mc:AlternateContent>
      </w:r>
    </w:p>
    <w:p w:rsidR="009B6735" w:rsidRPr="004030E3" w:rsidRDefault="009B6735" w:rsidP="00DB3A97">
      <w:pPr>
        <w:pStyle w:val="Title"/>
        <w:spacing w:before="4200"/>
        <w:jc w:val="center"/>
        <w:rPr>
          <w:sz w:val="24"/>
          <w:szCs w:val="24"/>
          <w:lang w:val="es-ES_tradnl"/>
        </w:rPr>
      </w:pPr>
      <w:r w:rsidRPr="004030E3">
        <w:rPr>
          <w:lang w:val="es-ES_tradnl"/>
        </w:rPr>
        <w:lastRenderedPageBreak/>
        <w:t>MEDIA ACCESS AUSTRALIA</w:t>
      </w:r>
    </w:p>
    <w:p w:rsidR="009B6735" w:rsidRPr="004030E3" w:rsidRDefault="009B6735" w:rsidP="0083231D">
      <w:pPr>
        <w:widowControl w:val="0"/>
        <w:tabs>
          <w:tab w:val="center" w:pos="5592"/>
        </w:tabs>
        <w:autoSpaceDE w:val="0"/>
        <w:autoSpaceDN w:val="0"/>
        <w:adjustRightInd w:val="0"/>
        <w:spacing w:after="0" w:line="240" w:lineRule="auto"/>
        <w:jc w:val="center"/>
        <w:rPr>
          <w:rFonts w:cstheme="minorHAnsi"/>
          <w:sz w:val="24"/>
          <w:szCs w:val="24"/>
          <w:lang w:val="es-ES_tradnl"/>
        </w:rPr>
      </w:pPr>
      <w:r w:rsidRPr="004030E3">
        <w:rPr>
          <w:rFonts w:cstheme="minorHAnsi"/>
          <w:b/>
          <w:bCs/>
          <w:color w:val="000000"/>
          <w:sz w:val="24"/>
          <w:szCs w:val="24"/>
          <w:lang w:val="es-ES_tradnl"/>
        </w:rPr>
        <w:t>ABN 75 002 259 154</w:t>
      </w:r>
    </w:p>
    <w:p w:rsidR="009B6735" w:rsidRPr="004030E3" w:rsidRDefault="009B6735" w:rsidP="0083231D">
      <w:pPr>
        <w:widowControl w:val="0"/>
        <w:tabs>
          <w:tab w:val="center" w:pos="5592"/>
        </w:tabs>
        <w:autoSpaceDE w:val="0"/>
        <w:autoSpaceDN w:val="0"/>
        <w:adjustRightInd w:val="0"/>
        <w:spacing w:before="240" w:after="0" w:line="240" w:lineRule="auto"/>
        <w:jc w:val="center"/>
        <w:rPr>
          <w:rFonts w:cstheme="minorHAnsi"/>
          <w:sz w:val="32"/>
          <w:szCs w:val="32"/>
          <w:lang w:val="es-ES_tradnl"/>
        </w:rPr>
      </w:pPr>
      <w:proofErr w:type="spellStart"/>
      <w:r w:rsidRPr="004030E3">
        <w:rPr>
          <w:rFonts w:cstheme="minorHAnsi"/>
          <w:b/>
          <w:sz w:val="32"/>
          <w:szCs w:val="32"/>
          <w:lang w:val="es-ES_tradnl"/>
        </w:rPr>
        <w:t>F</w:t>
      </w:r>
      <w:r w:rsidRPr="004030E3">
        <w:rPr>
          <w:rFonts w:cstheme="minorHAnsi"/>
          <w:b/>
          <w:bCs/>
          <w:color w:val="000000"/>
          <w:sz w:val="32"/>
          <w:szCs w:val="32"/>
          <w:lang w:val="es-ES_tradnl"/>
        </w:rPr>
        <w:t>inancial</w:t>
      </w:r>
      <w:proofErr w:type="spellEnd"/>
      <w:r w:rsidRPr="004030E3">
        <w:rPr>
          <w:rFonts w:cstheme="minorHAnsi"/>
          <w:b/>
          <w:bCs/>
          <w:color w:val="000000"/>
          <w:sz w:val="32"/>
          <w:szCs w:val="32"/>
          <w:lang w:val="es-ES_tradnl"/>
        </w:rPr>
        <w:t xml:space="preserve"> </w:t>
      </w:r>
      <w:proofErr w:type="spellStart"/>
      <w:r w:rsidRPr="004030E3">
        <w:rPr>
          <w:rFonts w:cstheme="minorHAnsi"/>
          <w:b/>
          <w:bCs/>
          <w:color w:val="000000"/>
          <w:sz w:val="32"/>
          <w:szCs w:val="32"/>
          <w:lang w:val="es-ES_tradnl"/>
        </w:rPr>
        <w:t>Report</w:t>
      </w:r>
      <w:proofErr w:type="spellEnd"/>
    </w:p>
    <w:p w:rsidR="009B6735" w:rsidRPr="00F07911" w:rsidRDefault="009B6735" w:rsidP="009B6735">
      <w:pPr>
        <w:widowControl w:val="0"/>
        <w:tabs>
          <w:tab w:val="center" w:pos="5577"/>
        </w:tabs>
        <w:autoSpaceDE w:val="0"/>
        <w:autoSpaceDN w:val="0"/>
        <w:adjustRightInd w:val="0"/>
        <w:spacing w:after="7320" w:line="240" w:lineRule="auto"/>
        <w:jc w:val="center"/>
        <w:rPr>
          <w:rFonts w:cstheme="minorHAnsi"/>
          <w:b/>
          <w:bCs/>
          <w:color w:val="000000"/>
          <w:sz w:val="32"/>
          <w:szCs w:val="32"/>
        </w:rPr>
        <w:sectPr w:rsidR="009B6735" w:rsidRPr="00F07911" w:rsidSect="00523CA1">
          <w:headerReference w:type="even" r:id="rId11"/>
          <w:headerReference w:type="default" r:id="rId12"/>
          <w:headerReference w:type="first" r:id="rId13"/>
          <w:pgSz w:w="11904" w:h="16836"/>
          <w:pgMar w:top="360" w:right="360" w:bottom="420" w:left="360" w:header="57" w:footer="720" w:gutter="0"/>
          <w:cols w:space="720"/>
          <w:noEndnote/>
          <w:titlePg/>
          <w:docGrid w:linePitch="299"/>
        </w:sectPr>
      </w:pPr>
      <w:r w:rsidRPr="00F07911">
        <w:rPr>
          <w:rFonts w:cstheme="minorHAnsi"/>
          <w:b/>
          <w:bCs/>
          <w:color w:val="000000"/>
          <w:sz w:val="32"/>
          <w:szCs w:val="32"/>
        </w:rPr>
        <w:t>For the Year ended 30 June 2013</w:t>
      </w:r>
    </w:p>
    <w:sdt>
      <w:sdtPr>
        <w:rPr>
          <w:rFonts w:eastAsiaTheme="minorEastAsia" w:cs="Times New Roman"/>
          <w:b/>
          <w:bCs w:val="0"/>
          <w:color w:val="auto"/>
          <w:sz w:val="22"/>
          <w:szCs w:val="22"/>
          <w:lang w:val="en-AU" w:eastAsia="en-US"/>
        </w:rPr>
        <w:id w:val="-890118991"/>
        <w:docPartObj>
          <w:docPartGallery w:val="Table of Contents"/>
          <w:docPartUnique/>
        </w:docPartObj>
      </w:sdtPr>
      <w:sdtEndPr>
        <w:rPr>
          <w:rFonts w:eastAsiaTheme="minorHAnsi" w:cstheme="minorBidi"/>
          <w:b w:val="0"/>
          <w:noProof/>
          <w:szCs w:val="20"/>
        </w:rPr>
      </w:sdtEndPr>
      <w:sdtContent>
        <w:p w:rsidR="009B6735" w:rsidRPr="00730EA4" w:rsidRDefault="009B6735" w:rsidP="0002368B">
          <w:pPr>
            <w:pStyle w:val="TOCHeading"/>
            <w:spacing w:line="480" w:lineRule="auto"/>
            <w:ind w:left="1418"/>
            <w:rPr>
              <w:color w:val="auto"/>
              <w:highlight w:val="yellow"/>
            </w:rPr>
          </w:pPr>
          <w:r w:rsidRPr="00AD7A02">
            <w:rPr>
              <w:color w:val="auto"/>
            </w:rPr>
            <w:t>Contents</w:t>
          </w:r>
        </w:p>
        <w:p w:rsidR="00082BF0" w:rsidRDefault="009B6735">
          <w:pPr>
            <w:pStyle w:val="TOC1"/>
            <w:rPr>
              <w:rFonts w:eastAsiaTheme="minorEastAsia"/>
              <w:noProof/>
              <w:szCs w:val="22"/>
              <w:lang w:eastAsia="en-AU"/>
            </w:rPr>
          </w:pPr>
          <w:r>
            <w:rPr>
              <w:highlight w:val="yellow"/>
            </w:rPr>
            <w:fldChar w:fldCharType="begin"/>
          </w:r>
          <w:r>
            <w:rPr>
              <w:highlight w:val="yellow"/>
            </w:rPr>
            <w:instrText xml:space="preserve"> TOC \o "1-1" \h \z \u </w:instrText>
          </w:r>
          <w:r>
            <w:rPr>
              <w:highlight w:val="yellow"/>
            </w:rPr>
            <w:fldChar w:fldCharType="separate"/>
          </w:r>
          <w:hyperlink w:anchor="_Toc370126162" w:history="1">
            <w:r w:rsidR="00082BF0" w:rsidRPr="00B71BBA">
              <w:rPr>
                <w:rStyle w:val="Hyperlink"/>
                <w:noProof/>
              </w:rPr>
              <w:t>Chairman’s Report</w:t>
            </w:r>
            <w:r w:rsidR="00082BF0">
              <w:rPr>
                <w:noProof/>
                <w:webHidden/>
              </w:rPr>
              <w:tab/>
            </w:r>
            <w:r w:rsidR="00082BF0">
              <w:rPr>
                <w:noProof/>
                <w:webHidden/>
              </w:rPr>
              <w:fldChar w:fldCharType="begin"/>
            </w:r>
            <w:r w:rsidR="00082BF0">
              <w:rPr>
                <w:noProof/>
                <w:webHidden/>
              </w:rPr>
              <w:instrText xml:space="preserve"> PAGEREF _Toc370126162 \h </w:instrText>
            </w:r>
            <w:r w:rsidR="00082BF0">
              <w:rPr>
                <w:noProof/>
                <w:webHidden/>
              </w:rPr>
            </w:r>
            <w:r w:rsidR="00082BF0">
              <w:rPr>
                <w:noProof/>
                <w:webHidden/>
              </w:rPr>
              <w:fldChar w:fldCharType="separate"/>
            </w:r>
            <w:r w:rsidR="00082BF0">
              <w:rPr>
                <w:noProof/>
                <w:webHidden/>
              </w:rPr>
              <w:t>3</w:t>
            </w:r>
            <w:r w:rsidR="00082BF0">
              <w:rPr>
                <w:noProof/>
                <w:webHidden/>
              </w:rPr>
              <w:fldChar w:fldCharType="end"/>
            </w:r>
          </w:hyperlink>
        </w:p>
        <w:p w:rsidR="00082BF0" w:rsidRDefault="009868C6">
          <w:pPr>
            <w:pStyle w:val="TOC1"/>
            <w:rPr>
              <w:rFonts w:eastAsiaTheme="minorEastAsia"/>
              <w:noProof/>
              <w:szCs w:val="22"/>
              <w:lang w:eastAsia="en-AU"/>
            </w:rPr>
          </w:pPr>
          <w:hyperlink w:anchor="_Toc370126163" w:history="1">
            <w:r w:rsidR="00082BF0" w:rsidRPr="00B71BBA">
              <w:rPr>
                <w:rStyle w:val="Hyperlink"/>
                <w:noProof/>
              </w:rPr>
              <w:t>CEO’s Report</w:t>
            </w:r>
            <w:r w:rsidR="00082BF0">
              <w:rPr>
                <w:noProof/>
                <w:webHidden/>
              </w:rPr>
              <w:tab/>
            </w:r>
            <w:r w:rsidR="00082BF0">
              <w:rPr>
                <w:noProof/>
                <w:webHidden/>
              </w:rPr>
              <w:fldChar w:fldCharType="begin"/>
            </w:r>
            <w:r w:rsidR="00082BF0">
              <w:rPr>
                <w:noProof/>
                <w:webHidden/>
              </w:rPr>
              <w:instrText xml:space="preserve"> PAGEREF _Toc370126163 \h </w:instrText>
            </w:r>
            <w:r w:rsidR="00082BF0">
              <w:rPr>
                <w:noProof/>
                <w:webHidden/>
              </w:rPr>
            </w:r>
            <w:r w:rsidR="00082BF0">
              <w:rPr>
                <w:noProof/>
                <w:webHidden/>
              </w:rPr>
              <w:fldChar w:fldCharType="separate"/>
            </w:r>
            <w:r w:rsidR="00082BF0">
              <w:rPr>
                <w:noProof/>
                <w:webHidden/>
              </w:rPr>
              <w:t>5</w:t>
            </w:r>
            <w:r w:rsidR="00082BF0">
              <w:rPr>
                <w:noProof/>
                <w:webHidden/>
              </w:rPr>
              <w:fldChar w:fldCharType="end"/>
            </w:r>
          </w:hyperlink>
        </w:p>
        <w:p w:rsidR="00082BF0" w:rsidRDefault="009868C6">
          <w:pPr>
            <w:pStyle w:val="TOC1"/>
            <w:rPr>
              <w:rFonts w:eastAsiaTheme="minorEastAsia"/>
              <w:noProof/>
              <w:szCs w:val="22"/>
              <w:lang w:eastAsia="en-AU"/>
            </w:rPr>
          </w:pPr>
          <w:hyperlink w:anchor="_Toc370126164" w:history="1">
            <w:r w:rsidR="00082BF0" w:rsidRPr="00B71BBA">
              <w:rPr>
                <w:rStyle w:val="Hyperlink"/>
                <w:noProof/>
              </w:rPr>
              <w:t>Directors’ Report</w:t>
            </w:r>
            <w:r w:rsidR="00082BF0">
              <w:rPr>
                <w:noProof/>
                <w:webHidden/>
              </w:rPr>
              <w:tab/>
            </w:r>
            <w:r w:rsidR="00082BF0">
              <w:rPr>
                <w:noProof/>
                <w:webHidden/>
              </w:rPr>
              <w:fldChar w:fldCharType="begin"/>
            </w:r>
            <w:r w:rsidR="00082BF0">
              <w:rPr>
                <w:noProof/>
                <w:webHidden/>
              </w:rPr>
              <w:instrText xml:space="preserve"> PAGEREF _Toc370126164 \h </w:instrText>
            </w:r>
            <w:r w:rsidR="00082BF0">
              <w:rPr>
                <w:noProof/>
                <w:webHidden/>
              </w:rPr>
            </w:r>
            <w:r w:rsidR="00082BF0">
              <w:rPr>
                <w:noProof/>
                <w:webHidden/>
              </w:rPr>
              <w:fldChar w:fldCharType="separate"/>
            </w:r>
            <w:r w:rsidR="00082BF0">
              <w:rPr>
                <w:noProof/>
                <w:webHidden/>
              </w:rPr>
              <w:t>10</w:t>
            </w:r>
            <w:r w:rsidR="00082BF0">
              <w:rPr>
                <w:noProof/>
                <w:webHidden/>
              </w:rPr>
              <w:fldChar w:fldCharType="end"/>
            </w:r>
          </w:hyperlink>
        </w:p>
        <w:p w:rsidR="00082BF0" w:rsidRDefault="009868C6">
          <w:pPr>
            <w:pStyle w:val="TOC1"/>
            <w:rPr>
              <w:rFonts w:eastAsiaTheme="minorEastAsia"/>
              <w:noProof/>
              <w:szCs w:val="22"/>
              <w:lang w:eastAsia="en-AU"/>
            </w:rPr>
          </w:pPr>
          <w:hyperlink w:anchor="_Toc370126165" w:history="1">
            <w:r w:rsidR="00082BF0" w:rsidRPr="00B71BBA">
              <w:rPr>
                <w:rStyle w:val="Hyperlink"/>
                <w:noProof/>
              </w:rPr>
              <w:t>Balance Sheet</w:t>
            </w:r>
            <w:r w:rsidR="00082BF0">
              <w:rPr>
                <w:noProof/>
                <w:webHidden/>
              </w:rPr>
              <w:tab/>
            </w:r>
            <w:r w:rsidR="00082BF0">
              <w:rPr>
                <w:noProof/>
                <w:webHidden/>
              </w:rPr>
              <w:fldChar w:fldCharType="begin"/>
            </w:r>
            <w:r w:rsidR="00082BF0">
              <w:rPr>
                <w:noProof/>
                <w:webHidden/>
              </w:rPr>
              <w:instrText xml:space="preserve"> PAGEREF _Toc370126165 \h </w:instrText>
            </w:r>
            <w:r w:rsidR="00082BF0">
              <w:rPr>
                <w:noProof/>
                <w:webHidden/>
              </w:rPr>
            </w:r>
            <w:r w:rsidR="00082BF0">
              <w:rPr>
                <w:noProof/>
                <w:webHidden/>
              </w:rPr>
              <w:fldChar w:fldCharType="separate"/>
            </w:r>
            <w:r w:rsidR="00082BF0">
              <w:rPr>
                <w:noProof/>
                <w:webHidden/>
              </w:rPr>
              <w:t>13</w:t>
            </w:r>
            <w:r w:rsidR="00082BF0">
              <w:rPr>
                <w:noProof/>
                <w:webHidden/>
              </w:rPr>
              <w:fldChar w:fldCharType="end"/>
            </w:r>
          </w:hyperlink>
        </w:p>
        <w:p w:rsidR="00082BF0" w:rsidRDefault="009868C6">
          <w:pPr>
            <w:pStyle w:val="TOC1"/>
            <w:rPr>
              <w:rFonts w:eastAsiaTheme="minorEastAsia"/>
              <w:noProof/>
              <w:szCs w:val="22"/>
              <w:lang w:eastAsia="en-AU"/>
            </w:rPr>
          </w:pPr>
          <w:hyperlink w:anchor="_Toc370126166" w:history="1">
            <w:r w:rsidR="00082BF0" w:rsidRPr="00B71BBA">
              <w:rPr>
                <w:rStyle w:val="Hyperlink"/>
                <w:noProof/>
              </w:rPr>
              <w:t>Statement of Comprehensive Income</w:t>
            </w:r>
            <w:r w:rsidR="00082BF0">
              <w:rPr>
                <w:noProof/>
                <w:webHidden/>
              </w:rPr>
              <w:tab/>
            </w:r>
            <w:r w:rsidR="00082BF0">
              <w:rPr>
                <w:noProof/>
                <w:webHidden/>
              </w:rPr>
              <w:fldChar w:fldCharType="begin"/>
            </w:r>
            <w:r w:rsidR="00082BF0">
              <w:rPr>
                <w:noProof/>
                <w:webHidden/>
              </w:rPr>
              <w:instrText xml:space="preserve"> PAGEREF _Toc370126166 \h </w:instrText>
            </w:r>
            <w:r w:rsidR="00082BF0">
              <w:rPr>
                <w:noProof/>
                <w:webHidden/>
              </w:rPr>
            </w:r>
            <w:r w:rsidR="00082BF0">
              <w:rPr>
                <w:noProof/>
                <w:webHidden/>
              </w:rPr>
              <w:fldChar w:fldCharType="separate"/>
            </w:r>
            <w:r w:rsidR="00082BF0">
              <w:rPr>
                <w:noProof/>
                <w:webHidden/>
              </w:rPr>
              <w:t>14</w:t>
            </w:r>
            <w:r w:rsidR="00082BF0">
              <w:rPr>
                <w:noProof/>
                <w:webHidden/>
              </w:rPr>
              <w:fldChar w:fldCharType="end"/>
            </w:r>
          </w:hyperlink>
        </w:p>
        <w:p w:rsidR="00082BF0" w:rsidRDefault="009868C6">
          <w:pPr>
            <w:pStyle w:val="TOC1"/>
            <w:rPr>
              <w:rFonts w:eastAsiaTheme="minorEastAsia"/>
              <w:noProof/>
              <w:szCs w:val="22"/>
              <w:lang w:eastAsia="en-AU"/>
            </w:rPr>
          </w:pPr>
          <w:hyperlink w:anchor="_Toc370126167" w:history="1">
            <w:r w:rsidR="00082BF0" w:rsidRPr="00B71BBA">
              <w:rPr>
                <w:rStyle w:val="Hyperlink"/>
                <w:noProof/>
              </w:rPr>
              <w:t>Statement of Changes in Equity</w:t>
            </w:r>
            <w:r w:rsidR="00082BF0">
              <w:rPr>
                <w:noProof/>
                <w:webHidden/>
              </w:rPr>
              <w:tab/>
            </w:r>
            <w:r w:rsidR="00082BF0">
              <w:rPr>
                <w:noProof/>
                <w:webHidden/>
              </w:rPr>
              <w:fldChar w:fldCharType="begin"/>
            </w:r>
            <w:r w:rsidR="00082BF0">
              <w:rPr>
                <w:noProof/>
                <w:webHidden/>
              </w:rPr>
              <w:instrText xml:space="preserve"> PAGEREF _Toc370126167 \h </w:instrText>
            </w:r>
            <w:r w:rsidR="00082BF0">
              <w:rPr>
                <w:noProof/>
                <w:webHidden/>
              </w:rPr>
            </w:r>
            <w:r w:rsidR="00082BF0">
              <w:rPr>
                <w:noProof/>
                <w:webHidden/>
              </w:rPr>
              <w:fldChar w:fldCharType="separate"/>
            </w:r>
            <w:r w:rsidR="00082BF0">
              <w:rPr>
                <w:noProof/>
                <w:webHidden/>
              </w:rPr>
              <w:t>15</w:t>
            </w:r>
            <w:r w:rsidR="00082BF0">
              <w:rPr>
                <w:noProof/>
                <w:webHidden/>
              </w:rPr>
              <w:fldChar w:fldCharType="end"/>
            </w:r>
          </w:hyperlink>
        </w:p>
        <w:p w:rsidR="00082BF0" w:rsidRDefault="009868C6">
          <w:pPr>
            <w:pStyle w:val="TOC1"/>
            <w:rPr>
              <w:rFonts w:eastAsiaTheme="minorEastAsia"/>
              <w:noProof/>
              <w:szCs w:val="22"/>
              <w:lang w:eastAsia="en-AU"/>
            </w:rPr>
          </w:pPr>
          <w:hyperlink w:anchor="_Toc370126168" w:history="1">
            <w:r w:rsidR="00082BF0" w:rsidRPr="00B71BBA">
              <w:rPr>
                <w:rStyle w:val="Hyperlink"/>
                <w:noProof/>
              </w:rPr>
              <w:t>Cash Flow Statement</w:t>
            </w:r>
            <w:r w:rsidR="00082BF0">
              <w:rPr>
                <w:noProof/>
                <w:webHidden/>
              </w:rPr>
              <w:tab/>
            </w:r>
            <w:r w:rsidR="00082BF0">
              <w:rPr>
                <w:noProof/>
                <w:webHidden/>
              </w:rPr>
              <w:fldChar w:fldCharType="begin"/>
            </w:r>
            <w:r w:rsidR="00082BF0">
              <w:rPr>
                <w:noProof/>
                <w:webHidden/>
              </w:rPr>
              <w:instrText xml:space="preserve"> PAGEREF _Toc370126168 \h </w:instrText>
            </w:r>
            <w:r w:rsidR="00082BF0">
              <w:rPr>
                <w:noProof/>
                <w:webHidden/>
              </w:rPr>
            </w:r>
            <w:r w:rsidR="00082BF0">
              <w:rPr>
                <w:noProof/>
                <w:webHidden/>
              </w:rPr>
              <w:fldChar w:fldCharType="separate"/>
            </w:r>
            <w:r w:rsidR="00082BF0">
              <w:rPr>
                <w:noProof/>
                <w:webHidden/>
              </w:rPr>
              <w:t>16</w:t>
            </w:r>
            <w:r w:rsidR="00082BF0">
              <w:rPr>
                <w:noProof/>
                <w:webHidden/>
              </w:rPr>
              <w:fldChar w:fldCharType="end"/>
            </w:r>
          </w:hyperlink>
        </w:p>
        <w:p w:rsidR="00082BF0" w:rsidRDefault="009868C6">
          <w:pPr>
            <w:pStyle w:val="TOC1"/>
            <w:rPr>
              <w:rFonts w:eastAsiaTheme="minorEastAsia"/>
              <w:noProof/>
              <w:szCs w:val="22"/>
              <w:lang w:eastAsia="en-AU"/>
            </w:rPr>
          </w:pPr>
          <w:hyperlink w:anchor="_Toc370126169" w:history="1">
            <w:r w:rsidR="00082BF0" w:rsidRPr="00B71BBA">
              <w:rPr>
                <w:rStyle w:val="Hyperlink"/>
                <w:noProof/>
              </w:rPr>
              <w:t>Notes to the Financial Statements</w:t>
            </w:r>
            <w:r w:rsidR="00082BF0">
              <w:rPr>
                <w:noProof/>
                <w:webHidden/>
              </w:rPr>
              <w:tab/>
            </w:r>
            <w:r w:rsidR="00082BF0">
              <w:rPr>
                <w:noProof/>
                <w:webHidden/>
              </w:rPr>
              <w:fldChar w:fldCharType="begin"/>
            </w:r>
            <w:r w:rsidR="00082BF0">
              <w:rPr>
                <w:noProof/>
                <w:webHidden/>
              </w:rPr>
              <w:instrText xml:space="preserve"> PAGEREF _Toc370126169 \h </w:instrText>
            </w:r>
            <w:r w:rsidR="00082BF0">
              <w:rPr>
                <w:noProof/>
                <w:webHidden/>
              </w:rPr>
            </w:r>
            <w:r w:rsidR="00082BF0">
              <w:rPr>
                <w:noProof/>
                <w:webHidden/>
              </w:rPr>
              <w:fldChar w:fldCharType="separate"/>
            </w:r>
            <w:r w:rsidR="00082BF0">
              <w:rPr>
                <w:noProof/>
                <w:webHidden/>
              </w:rPr>
              <w:t>17</w:t>
            </w:r>
            <w:r w:rsidR="00082BF0">
              <w:rPr>
                <w:noProof/>
                <w:webHidden/>
              </w:rPr>
              <w:fldChar w:fldCharType="end"/>
            </w:r>
          </w:hyperlink>
        </w:p>
        <w:p w:rsidR="00082BF0" w:rsidRDefault="009868C6">
          <w:pPr>
            <w:pStyle w:val="TOC1"/>
            <w:rPr>
              <w:rFonts w:eastAsiaTheme="minorEastAsia"/>
              <w:noProof/>
              <w:szCs w:val="22"/>
              <w:lang w:eastAsia="en-AU"/>
            </w:rPr>
          </w:pPr>
          <w:hyperlink w:anchor="_Toc370126170" w:history="1">
            <w:r w:rsidR="00082BF0" w:rsidRPr="00B71BBA">
              <w:rPr>
                <w:rStyle w:val="Hyperlink"/>
                <w:noProof/>
              </w:rPr>
              <w:t>Directors’ Declaration</w:t>
            </w:r>
            <w:r w:rsidR="00082BF0">
              <w:rPr>
                <w:noProof/>
                <w:webHidden/>
              </w:rPr>
              <w:tab/>
            </w:r>
            <w:r w:rsidR="00082BF0">
              <w:rPr>
                <w:noProof/>
                <w:webHidden/>
              </w:rPr>
              <w:fldChar w:fldCharType="begin"/>
            </w:r>
            <w:r w:rsidR="00082BF0">
              <w:rPr>
                <w:noProof/>
                <w:webHidden/>
              </w:rPr>
              <w:instrText xml:space="preserve"> PAGEREF _Toc370126170 \h </w:instrText>
            </w:r>
            <w:r w:rsidR="00082BF0">
              <w:rPr>
                <w:noProof/>
                <w:webHidden/>
              </w:rPr>
            </w:r>
            <w:r w:rsidR="00082BF0">
              <w:rPr>
                <w:noProof/>
                <w:webHidden/>
              </w:rPr>
              <w:fldChar w:fldCharType="separate"/>
            </w:r>
            <w:r w:rsidR="00082BF0">
              <w:rPr>
                <w:noProof/>
                <w:webHidden/>
              </w:rPr>
              <w:t>32</w:t>
            </w:r>
            <w:r w:rsidR="00082BF0">
              <w:rPr>
                <w:noProof/>
                <w:webHidden/>
              </w:rPr>
              <w:fldChar w:fldCharType="end"/>
            </w:r>
          </w:hyperlink>
        </w:p>
        <w:p w:rsidR="00082BF0" w:rsidRDefault="009868C6">
          <w:pPr>
            <w:pStyle w:val="TOC1"/>
            <w:rPr>
              <w:rFonts w:eastAsiaTheme="minorEastAsia"/>
              <w:noProof/>
              <w:szCs w:val="22"/>
              <w:lang w:eastAsia="en-AU"/>
            </w:rPr>
          </w:pPr>
          <w:hyperlink w:anchor="_Toc370126171" w:history="1">
            <w:r w:rsidR="00082BF0" w:rsidRPr="00B71BBA">
              <w:rPr>
                <w:rStyle w:val="Hyperlink"/>
                <w:noProof/>
              </w:rPr>
              <w:t>Auditor’s Independence Declaration</w:t>
            </w:r>
            <w:r w:rsidR="00082BF0">
              <w:rPr>
                <w:noProof/>
                <w:webHidden/>
              </w:rPr>
              <w:tab/>
            </w:r>
            <w:r w:rsidR="00082BF0">
              <w:rPr>
                <w:noProof/>
                <w:webHidden/>
              </w:rPr>
              <w:fldChar w:fldCharType="begin"/>
            </w:r>
            <w:r w:rsidR="00082BF0">
              <w:rPr>
                <w:noProof/>
                <w:webHidden/>
              </w:rPr>
              <w:instrText xml:space="preserve"> PAGEREF _Toc370126171 \h </w:instrText>
            </w:r>
            <w:r w:rsidR="00082BF0">
              <w:rPr>
                <w:noProof/>
                <w:webHidden/>
              </w:rPr>
            </w:r>
            <w:r w:rsidR="00082BF0">
              <w:rPr>
                <w:noProof/>
                <w:webHidden/>
              </w:rPr>
              <w:fldChar w:fldCharType="separate"/>
            </w:r>
            <w:r w:rsidR="00082BF0">
              <w:rPr>
                <w:noProof/>
                <w:webHidden/>
              </w:rPr>
              <w:t>33</w:t>
            </w:r>
            <w:r w:rsidR="00082BF0">
              <w:rPr>
                <w:noProof/>
                <w:webHidden/>
              </w:rPr>
              <w:fldChar w:fldCharType="end"/>
            </w:r>
          </w:hyperlink>
        </w:p>
        <w:p w:rsidR="00082BF0" w:rsidRDefault="009868C6">
          <w:pPr>
            <w:pStyle w:val="TOC1"/>
            <w:rPr>
              <w:rFonts w:eastAsiaTheme="minorEastAsia"/>
              <w:noProof/>
              <w:szCs w:val="22"/>
              <w:lang w:eastAsia="en-AU"/>
            </w:rPr>
          </w:pPr>
          <w:hyperlink w:anchor="_Toc370126172" w:history="1">
            <w:r w:rsidR="00082BF0" w:rsidRPr="00B71BBA">
              <w:rPr>
                <w:rStyle w:val="Hyperlink"/>
                <w:rFonts w:eastAsia="Times New Roman"/>
                <w:noProof/>
              </w:rPr>
              <w:t>Independent Auditor’s Report to the members of Media Access Australia</w:t>
            </w:r>
            <w:r w:rsidR="00082BF0">
              <w:rPr>
                <w:noProof/>
                <w:webHidden/>
              </w:rPr>
              <w:tab/>
            </w:r>
            <w:r w:rsidR="00082BF0">
              <w:rPr>
                <w:noProof/>
                <w:webHidden/>
              </w:rPr>
              <w:fldChar w:fldCharType="begin"/>
            </w:r>
            <w:r w:rsidR="00082BF0">
              <w:rPr>
                <w:noProof/>
                <w:webHidden/>
              </w:rPr>
              <w:instrText xml:space="preserve"> PAGEREF _Toc370126172 \h </w:instrText>
            </w:r>
            <w:r w:rsidR="00082BF0">
              <w:rPr>
                <w:noProof/>
                <w:webHidden/>
              </w:rPr>
            </w:r>
            <w:r w:rsidR="00082BF0">
              <w:rPr>
                <w:noProof/>
                <w:webHidden/>
              </w:rPr>
              <w:fldChar w:fldCharType="separate"/>
            </w:r>
            <w:r w:rsidR="00082BF0">
              <w:rPr>
                <w:noProof/>
                <w:webHidden/>
              </w:rPr>
              <w:t>34</w:t>
            </w:r>
            <w:r w:rsidR="00082BF0">
              <w:rPr>
                <w:noProof/>
                <w:webHidden/>
              </w:rPr>
              <w:fldChar w:fldCharType="end"/>
            </w:r>
          </w:hyperlink>
        </w:p>
        <w:p w:rsidR="009B6735" w:rsidRDefault="009B6735" w:rsidP="001D0C47">
          <w:pPr>
            <w:spacing w:line="480" w:lineRule="auto"/>
          </w:pPr>
          <w:r>
            <w:rPr>
              <w:highlight w:val="yellow"/>
            </w:rPr>
            <w:fldChar w:fldCharType="end"/>
          </w:r>
        </w:p>
      </w:sdtContent>
    </w:sdt>
    <w:p w:rsidR="009B6735" w:rsidRDefault="009B6735" w:rsidP="00F56420">
      <w:pPr>
        <w:widowControl w:val="0"/>
        <w:autoSpaceDE w:val="0"/>
        <w:autoSpaceDN w:val="0"/>
        <w:adjustRightInd w:val="0"/>
        <w:spacing w:before="100" w:beforeAutospacing="1" w:after="0" w:line="240" w:lineRule="auto"/>
        <w:ind w:left="1176" w:right="1174"/>
        <w:rPr>
          <w:rFonts w:ascii="Times New Roman" w:hAnsi="Times New Roman"/>
          <w:sz w:val="24"/>
          <w:szCs w:val="24"/>
        </w:rPr>
        <w:sectPr w:rsidR="009B6735" w:rsidSect="001D0C47">
          <w:pgSz w:w="11904" w:h="16836"/>
          <w:pgMar w:top="1134" w:right="1134" w:bottom="1134" w:left="1134" w:header="720" w:footer="720" w:gutter="0"/>
          <w:cols w:space="720"/>
          <w:noEndnote/>
          <w:docGrid w:linePitch="299"/>
        </w:sectPr>
      </w:pPr>
    </w:p>
    <w:p w:rsidR="00D2400B" w:rsidRPr="003226E6" w:rsidRDefault="00D2400B" w:rsidP="00EA1363">
      <w:pPr>
        <w:pStyle w:val="Heading1"/>
      </w:pPr>
      <w:bookmarkStart w:id="1" w:name="_Toc370126162"/>
      <w:r w:rsidRPr="003226E6">
        <w:lastRenderedPageBreak/>
        <w:t>Chairman’s Report</w:t>
      </w:r>
      <w:bookmarkEnd w:id="1"/>
    </w:p>
    <w:p w:rsidR="00D2400B" w:rsidRPr="00D2400B" w:rsidRDefault="00D2400B" w:rsidP="00D2400B">
      <w:pPr>
        <w:rPr>
          <w:rStyle w:val="Strong"/>
        </w:rPr>
      </w:pPr>
      <w:r w:rsidRPr="00D2400B">
        <w:rPr>
          <w:rStyle w:val="Strong"/>
        </w:rPr>
        <w:t>For the Year ended 30 June 2013</w:t>
      </w:r>
    </w:p>
    <w:p w:rsidR="009E7D4C" w:rsidRDefault="009E7D4C" w:rsidP="009E7D4C">
      <w:pPr>
        <w:rPr>
          <w:rFonts w:ascii="Arial" w:hAnsi="Arial" w:cs="Arial"/>
        </w:rPr>
      </w:pPr>
      <w:r w:rsidRPr="00B434AC">
        <w:rPr>
          <w:rFonts w:ascii="Arial" w:hAnsi="Arial" w:cs="Arial"/>
        </w:rPr>
        <w:t>Media Access Australia continues to act as a significant catalyst for change in helping people with disabilities gain access to</w:t>
      </w:r>
      <w:r>
        <w:rPr>
          <w:rFonts w:ascii="Arial" w:hAnsi="Arial" w:cs="Arial"/>
        </w:rPr>
        <w:t xml:space="preserve"> media and information.</w:t>
      </w:r>
      <w:r w:rsidRPr="00B434AC">
        <w:rPr>
          <w:rFonts w:ascii="Arial" w:hAnsi="Arial" w:cs="Arial"/>
        </w:rPr>
        <w:t xml:space="preserve"> The year showed progress in both traditional media,</w:t>
      </w:r>
      <w:r>
        <w:rPr>
          <w:rFonts w:ascii="Arial" w:hAnsi="Arial" w:cs="Arial"/>
        </w:rPr>
        <w:t xml:space="preserve"> </w:t>
      </w:r>
      <w:r w:rsidRPr="00B434AC">
        <w:rPr>
          <w:rFonts w:ascii="Arial" w:hAnsi="Arial" w:cs="Arial"/>
        </w:rPr>
        <w:t>such as television</w:t>
      </w:r>
      <w:r>
        <w:rPr>
          <w:rFonts w:ascii="Arial" w:hAnsi="Arial" w:cs="Arial"/>
        </w:rPr>
        <w:t>,</w:t>
      </w:r>
      <w:r w:rsidRPr="00B434AC">
        <w:rPr>
          <w:rFonts w:ascii="Arial" w:hAnsi="Arial" w:cs="Arial"/>
        </w:rPr>
        <w:t xml:space="preserve"> </w:t>
      </w:r>
      <w:r>
        <w:rPr>
          <w:rFonts w:ascii="Arial" w:hAnsi="Arial" w:cs="Arial"/>
        </w:rPr>
        <w:t>and in</w:t>
      </w:r>
      <w:r w:rsidRPr="00B434AC">
        <w:rPr>
          <w:rFonts w:ascii="Arial" w:hAnsi="Arial" w:cs="Arial"/>
        </w:rPr>
        <w:t xml:space="preserve"> helping web professionals improve their access skills and thus create more accessible websites and content for </w:t>
      </w:r>
      <w:r>
        <w:rPr>
          <w:rFonts w:ascii="Arial" w:hAnsi="Arial" w:cs="Arial"/>
        </w:rPr>
        <w:t>users</w:t>
      </w:r>
      <w:r w:rsidRPr="00B434AC">
        <w:rPr>
          <w:rFonts w:ascii="Arial" w:hAnsi="Arial" w:cs="Arial"/>
        </w:rPr>
        <w:t>.</w:t>
      </w:r>
    </w:p>
    <w:p w:rsidR="009E7D4C" w:rsidRPr="00B434AC" w:rsidRDefault="009E7D4C" w:rsidP="009E7D4C">
      <w:pPr>
        <w:rPr>
          <w:rFonts w:ascii="Arial" w:hAnsi="Arial" w:cs="Arial"/>
        </w:rPr>
      </w:pPr>
      <w:r>
        <w:rPr>
          <w:rFonts w:ascii="Arial" w:hAnsi="Arial" w:cs="Arial"/>
        </w:rPr>
        <w:t xml:space="preserve">This year was a difficult financial challenge as we sought to develop and launch our education and information enterprise Access </w:t>
      </w:r>
      <w:proofErr w:type="gramStart"/>
      <w:r>
        <w:rPr>
          <w:rFonts w:ascii="Arial" w:hAnsi="Arial" w:cs="Arial"/>
        </w:rPr>
        <w:t>iQ</w:t>
      </w:r>
      <w:proofErr w:type="gramEnd"/>
      <w:r>
        <w:rPr>
          <w:rFonts w:ascii="Arial" w:hAnsi="Arial" w:cs="Arial"/>
        </w:rPr>
        <w:t xml:space="preserve"> and to maintain broad pressure across all areas of access in a tight fiscal environment. Our financial loss was considerably reduced compared to last year and was mainly achieved through the excellent investment advice and management that we receive through our advisors Clime. </w:t>
      </w:r>
    </w:p>
    <w:p w:rsidR="009E7D4C" w:rsidRDefault="009E7D4C" w:rsidP="009E7D4C">
      <w:pPr>
        <w:tabs>
          <w:tab w:val="left" w:pos="6810"/>
        </w:tabs>
        <w:rPr>
          <w:rFonts w:ascii="Arial" w:hAnsi="Arial" w:cs="Arial"/>
        </w:rPr>
      </w:pPr>
      <w:r>
        <w:rPr>
          <w:rFonts w:ascii="Arial" w:hAnsi="Arial" w:cs="Arial"/>
        </w:rPr>
        <w:t xml:space="preserve">After many years of sustained advocacy and development we finally secured a trial of audio description on ABC1 in late 2012. This clearly demonstrated that it is a feasible service and all efforts are now being placed towards making this service permanent so that Australia may return to a level-playing field against North America, the UK and New Zealand. </w:t>
      </w:r>
    </w:p>
    <w:p w:rsidR="009E7D4C" w:rsidRDefault="009E7D4C" w:rsidP="009E7D4C">
      <w:pPr>
        <w:tabs>
          <w:tab w:val="left" w:pos="6810"/>
        </w:tabs>
        <w:rPr>
          <w:rFonts w:ascii="Arial" w:hAnsi="Arial" w:cs="Arial"/>
        </w:rPr>
      </w:pPr>
      <w:r>
        <w:rPr>
          <w:rFonts w:ascii="Arial" w:hAnsi="Arial" w:cs="Arial"/>
        </w:rPr>
        <w:t xml:space="preserve">Further developments in television access were centred on the updating of the broadcasting regulations which brought all captioning quotas under the same regulatory banner. Additionally, caption quality measures were also included for the first time as part of this legislation. </w:t>
      </w:r>
    </w:p>
    <w:p w:rsidR="009E7D4C" w:rsidRDefault="009E7D4C" w:rsidP="009E7D4C">
      <w:pPr>
        <w:tabs>
          <w:tab w:val="left" w:pos="6810"/>
        </w:tabs>
        <w:rPr>
          <w:rFonts w:ascii="Arial" w:hAnsi="Arial" w:cs="Arial"/>
        </w:rPr>
      </w:pPr>
      <w:r>
        <w:rPr>
          <w:rFonts w:ascii="Arial" w:hAnsi="Arial" w:cs="Arial"/>
        </w:rPr>
        <w:t xml:space="preserve">One effective strategy for achieving improved access to information for our constituents is to target those professionals who are creating websites and content. This year saw the launch and development of Access </w:t>
      </w:r>
      <w:proofErr w:type="gramStart"/>
      <w:r>
        <w:rPr>
          <w:rFonts w:ascii="Arial" w:hAnsi="Arial" w:cs="Arial"/>
        </w:rPr>
        <w:t>iQ</w:t>
      </w:r>
      <w:proofErr w:type="gramEnd"/>
      <w:r>
        <w:rPr>
          <w:rFonts w:ascii="Arial" w:hAnsi="Arial" w:cs="Arial"/>
        </w:rPr>
        <w:t xml:space="preserve">, our one-stop accessibility information portal for web professionals. The challenge for the year was to build up the website and then fine-tune the resources allocated to it to ensure an ongoing viable operation, a challenge which </w:t>
      </w:r>
      <w:proofErr w:type="gramStart"/>
      <w:r>
        <w:rPr>
          <w:rFonts w:ascii="Arial" w:hAnsi="Arial" w:cs="Arial"/>
        </w:rPr>
        <w:t>continues  as</w:t>
      </w:r>
      <w:proofErr w:type="gramEnd"/>
      <w:r>
        <w:rPr>
          <w:rFonts w:ascii="Arial" w:hAnsi="Arial" w:cs="Arial"/>
        </w:rPr>
        <w:t xml:space="preserve"> a significant part of our work. </w:t>
      </w:r>
    </w:p>
    <w:p w:rsidR="009E7D4C" w:rsidRPr="00B434AC" w:rsidRDefault="009E7D4C" w:rsidP="009E7D4C">
      <w:pPr>
        <w:tabs>
          <w:tab w:val="left" w:pos="6810"/>
        </w:tabs>
        <w:rPr>
          <w:rFonts w:ascii="Arial" w:hAnsi="Arial" w:cs="Arial"/>
        </w:rPr>
      </w:pPr>
      <w:r>
        <w:rPr>
          <w:rFonts w:ascii="Arial" w:hAnsi="Arial" w:cs="Arial"/>
        </w:rPr>
        <w:t>The Professional Certificate in Web Accessibility, our unique online training course (provided in conjunction with the University of South Australia) not only received international recognition at the W3C level, but also continues to grow its enrolments from around the world, showing how much courses like this are needed if we are to build up access skills.</w:t>
      </w:r>
      <w:r>
        <w:rPr>
          <w:rFonts w:ascii="Arial" w:hAnsi="Arial" w:cs="Arial"/>
        </w:rPr>
        <w:tab/>
      </w:r>
    </w:p>
    <w:p w:rsidR="003206AB" w:rsidRDefault="009E7D4C" w:rsidP="009E7D4C">
      <w:pPr>
        <w:rPr>
          <w:rFonts w:ascii="Arial" w:hAnsi="Arial" w:cs="Arial"/>
        </w:rPr>
      </w:pPr>
      <w:r>
        <w:rPr>
          <w:rFonts w:ascii="Arial" w:hAnsi="Arial" w:cs="Arial"/>
        </w:rPr>
        <w:t xml:space="preserve">School-aged children continue to be a priority audience for MAA and I was pleased to see the </w:t>
      </w:r>
      <w:r w:rsidRPr="001271B4">
        <w:rPr>
          <w:rFonts w:ascii="Arial" w:hAnsi="Arial" w:cs="Arial"/>
          <w:b/>
        </w:rPr>
        <w:t>cap that!</w:t>
      </w:r>
      <w:r>
        <w:rPr>
          <w:rFonts w:ascii="Arial" w:hAnsi="Arial" w:cs="Arial"/>
        </w:rPr>
        <w:t xml:space="preserve"> </w:t>
      </w:r>
      <w:proofErr w:type="gramStart"/>
      <w:r>
        <w:rPr>
          <w:rFonts w:ascii="Arial" w:hAnsi="Arial" w:cs="Arial"/>
        </w:rPr>
        <w:t>education</w:t>
      </w:r>
      <w:proofErr w:type="gramEnd"/>
      <w:r>
        <w:rPr>
          <w:rFonts w:ascii="Arial" w:hAnsi="Arial" w:cs="Arial"/>
        </w:rPr>
        <w:t xml:space="preserve"> campaign grow, with the support of patron Senator Ursula Stephens and sponsor Australian Communication Exchange. We also undertook important research work into the needs of vision impaired students and are now seeking to build on that with practical </w:t>
      </w:r>
      <w:r w:rsidR="003206AB">
        <w:rPr>
          <w:rFonts w:ascii="Arial" w:hAnsi="Arial" w:cs="Arial"/>
        </w:rPr>
        <w:t>pilot projects and information.</w:t>
      </w:r>
    </w:p>
    <w:p w:rsidR="003206AB" w:rsidRDefault="003206AB">
      <w:pPr>
        <w:spacing w:after="200"/>
        <w:rPr>
          <w:rFonts w:ascii="Arial" w:hAnsi="Arial" w:cs="Arial"/>
        </w:rPr>
      </w:pPr>
      <w:r>
        <w:rPr>
          <w:rFonts w:ascii="Arial" w:hAnsi="Arial" w:cs="Arial"/>
        </w:rPr>
        <w:br w:type="page"/>
      </w:r>
    </w:p>
    <w:p w:rsidR="003206AB" w:rsidRPr="00D2400B" w:rsidRDefault="003206AB" w:rsidP="003206AB">
      <w:pPr>
        <w:rPr>
          <w:sz w:val="48"/>
        </w:rPr>
      </w:pPr>
      <w:r w:rsidRPr="00D2400B">
        <w:rPr>
          <w:sz w:val="48"/>
        </w:rPr>
        <w:lastRenderedPageBreak/>
        <w:t>Chairman’s Report</w:t>
      </w:r>
      <w:r>
        <w:rPr>
          <w:sz w:val="48"/>
        </w:rPr>
        <w:t xml:space="preserve"> (</w:t>
      </w:r>
      <w:r w:rsidR="00FC5AAD">
        <w:rPr>
          <w:sz w:val="48"/>
        </w:rPr>
        <w:t>continued)</w:t>
      </w:r>
    </w:p>
    <w:p w:rsidR="003206AB" w:rsidRPr="00D2400B" w:rsidRDefault="003206AB" w:rsidP="003206AB">
      <w:pPr>
        <w:rPr>
          <w:rStyle w:val="Strong"/>
        </w:rPr>
      </w:pPr>
      <w:r w:rsidRPr="00D2400B">
        <w:rPr>
          <w:rStyle w:val="Strong"/>
        </w:rPr>
        <w:t>For the Year ended 30 June 2013</w:t>
      </w:r>
    </w:p>
    <w:p w:rsidR="009E7D4C" w:rsidRDefault="009E7D4C" w:rsidP="009E7D4C">
      <w:pPr>
        <w:rPr>
          <w:rFonts w:ascii="Arial" w:hAnsi="Arial" w:cs="Arial"/>
        </w:rPr>
      </w:pPr>
      <w:r>
        <w:rPr>
          <w:rFonts w:ascii="Arial" w:hAnsi="Arial" w:cs="Arial"/>
        </w:rPr>
        <w:t>Our research and practical advice continues to play an important role in an era where governments make evidence-based policy decisions and our input into the accessibility of electronic program guides and multichannel accessibility contributed significa</w:t>
      </w:r>
      <w:r w:rsidR="006C209E">
        <w:rPr>
          <w:rFonts w:ascii="Arial" w:hAnsi="Arial" w:cs="Arial"/>
        </w:rPr>
        <w:t>ntly to the policy discussions.</w:t>
      </w:r>
    </w:p>
    <w:p w:rsidR="009E7D4C" w:rsidRDefault="009E7D4C" w:rsidP="009E7D4C">
      <w:pPr>
        <w:rPr>
          <w:rFonts w:ascii="Arial" w:hAnsi="Arial" w:cs="Arial"/>
        </w:rPr>
      </w:pPr>
      <w:r>
        <w:rPr>
          <w:rFonts w:ascii="Arial" w:hAnsi="Arial" w:cs="Arial"/>
        </w:rPr>
        <w:t>I would like to acknowledge my directors who bring their considerable business and social experience to the organisation. I want especially to mention our newest director, Darren Fittler, who provides particular insight and experience to the needs and viewpoints of blind people, an important constituency for MAA.</w:t>
      </w:r>
    </w:p>
    <w:p w:rsidR="009E7D4C" w:rsidRDefault="009E7D4C" w:rsidP="009E7D4C">
      <w:pPr>
        <w:rPr>
          <w:rFonts w:ascii="Arial" w:hAnsi="Arial" w:cs="Arial"/>
        </w:rPr>
      </w:pPr>
      <w:r>
        <w:rPr>
          <w:rFonts w:ascii="Arial" w:hAnsi="Arial" w:cs="Arial"/>
        </w:rPr>
        <w:t>Finally, I would like to thank the staff, led by Alex Varley, for their dedication, passion and professionalism in pursuing ac</w:t>
      </w:r>
      <w:r w:rsidR="006C209E">
        <w:rPr>
          <w:rFonts w:ascii="Arial" w:hAnsi="Arial" w:cs="Arial"/>
        </w:rPr>
        <w:t>cess to media with such vigour.</w:t>
      </w:r>
    </w:p>
    <w:p w:rsidR="004030E3" w:rsidRDefault="004030E3" w:rsidP="009E7D4C">
      <w:pPr>
        <w:rPr>
          <w:rFonts w:ascii="Arial" w:hAnsi="Arial" w:cs="Arial"/>
        </w:rPr>
      </w:pPr>
      <w:r>
        <w:rPr>
          <w:rFonts w:ascii="Arial" w:hAnsi="Arial" w:cs="Arial"/>
          <w:noProof/>
          <w:lang w:eastAsia="en-AU"/>
        </w:rPr>
        <w:drawing>
          <wp:inline distT="0" distB="0" distL="0" distR="0">
            <wp:extent cx="1359443" cy="409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ache's digital signature.jpg"/>
                    <pic:cNvPicPr/>
                  </pic:nvPicPr>
                  <pic:blipFill>
                    <a:blip r:embed="rId14">
                      <a:extLst>
                        <a:ext uri="{28A0092B-C50C-407E-A947-70E740481C1C}">
                          <a14:useLocalDpi xmlns:a14="http://schemas.microsoft.com/office/drawing/2010/main" val="0"/>
                        </a:ext>
                      </a:extLst>
                    </a:blip>
                    <a:stretch>
                      <a:fillRect/>
                    </a:stretch>
                  </pic:blipFill>
                  <pic:spPr>
                    <a:xfrm>
                      <a:off x="0" y="0"/>
                      <a:ext cx="1357268" cy="408920"/>
                    </a:xfrm>
                    <a:prstGeom prst="rect">
                      <a:avLst/>
                    </a:prstGeom>
                  </pic:spPr>
                </pic:pic>
              </a:graphicData>
            </a:graphic>
          </wp:inline>
        </w:drawing>
      </w:r>
    </w:p>
    <w:p w:rsidR="00D2400B" w:rsidRDefault="00134384" w:rsidP="005C6F31">
      <w:pPr>
        <w:spacing w:before="360"/>
        <w:rPr>
          <w:rFonts w:ascii="Times New Roman" w:hAnsi="Times New Roman"/>
          <w:sz w:val="24"/>
          <w:szCs w:val="24"/>
        </w:rPr>
      </w:pPr>
      <w:r>
        <w:rPr>
          <w:rFonts w:cs="Arial"/>
        </w:rPr>
        <w:t>I</w:t>
      </w:r>
      <w:r w:rsidR="00D2400B" w:rsidRPr="00E97CF8">
        <w:rPr>
          <w:rFonts w:cs="Arial"/>
        </w:rPr>
        <w:t>an Roache</w:t>
      </w:r>
      <w:r w:rsidR="00D2400B">
        <w:rPr>
          <w:rFonts w:cs="Arial"/>
        </w:rPr>
        <w:br/>
      </w:r>
      <w:r w:rsidR="00D2400B">
        <w:rPr>
          <w:rFonts w:cs="Arial"/>
          <w:b/>
        </w:rPr>
        <w:t>CHAIRMAN</w:t>
      </w:r>
      <w:r w:rsidR="00D2400B">
        <w:br w:type="page"/>
      </w:r>
    </w:p>
    <w:p w:rsidR="00D2400B" w:rsidRPr="0002368B" w:rsidRDefault="00D2400B" w:rsidP="00D2400B">
      <w:pPr>
        <w:pStyle w:val="Heading1"/>
        <w:rPr>
          <w:szCs w:val="48"/>
        </w:rPr>
      </w:pPr>
      <w:bookmarkStart w:id="2" w:name="_Toc370126163"/>
      <w:r w:rsidRPr="003226E6">
        <w:lastRenderedPageBreak/>
        <w:t>CEO’s Report</w:t>
      </w:r>
      <w:bookmarkEnd w:id="2"/>
    </w:p>
    <w:p w:rsidR="00D2400B" w:rsidRPr="00D2400B" w:rsidRDefault="00D2400B" w:rsidP="00D2400B">
      <w:pPr>
        <w:rPr>
          <w:b/>
          <w:sz w:val="24"/>
          <w:szCs w:val="24"/>
        </w:rPr>
      </w:pPr>
      <w:r w:rsidRPr="00D2400B">
        <w:rPr>
          <w:b/>
        </w:rPr>
        <w:t>For the Year Ended 30 June 2013</w:t>
      </w:r>
    </w:p>
    <w:p w:rsidR="00D2400B" w:rsidRDefault="00D2400B" w:rsidP="00D2400B">
      <w:r w:rsidRPr="001F3EA2">
        <w:t xml:space="preserve">The range of work that Media Access Australia (MAA) undertakes is massive and this report only serves to highlight a few key achievements and milestones. I would encourage people to visit our comprehensive website, </w:t>
      </w:r>
      <w:hyperlink r:id="rId15" w:history="1">
        <w:r w:rsidRPr="00D2400B">
          <w:rPr>
            <w:color w:val="000000" w:themeColor="text1"/>
            <w:u w:val="single"/>
          </w:rPr>
          <w:t>mediaaccess.org.au</w:t>
        </w:r>
      </w:hyperlink>
      <w:r w:rsidRPr="001F3EA2">
        <w:t xml:space="preserve"> for a more thorough and detailed level of information about what is happening in the world of access. </w:t>
      </w:r>
    </w:p>
    <w:p w:rsidR="00D2400B" w:rsidRPr="001F3EA2" w:rsidRDefault="00D2400B" w:rsidP="00D2400B">
      <w:r w:rsidRPr="001F3EA2">
        <w:rPr>
          <w:rFonts w:asciiTheme="majorHAnsi" w:eastAsiaTheme="majorEastAsia" w:hAnsiTheme="majorHAnsi" w:cstheme="majorBidi"/>
          <w:b/>
          <w:bCs/>
          <w:color w:val="000000" w:themeColor="accent1" w:themeShade="BF"/>
          <w:sz w:val="28"/>
          <w:szCs w:val="28"/>
        </w:rPr>
        <w:t>Television</w:t>
      </w:r>
      <w:r>
        <w:br/>
      </w:r>
      <w:r w:rsidRPr="001F3EA2">
        <w:t xml:space="preserve">The year started well in television access with both the trial of audio description (AD) commencing on the ABC in August and the changes to the </w:t>
      </w:r>
      <w:r w:rsidRPr="001F3EA2">
        <w:rPr>
          <w:i/>
        </w:rPr>
        <w:t xml:space="preserve">Broadcasting Services Act 1992 </w:t>
      </w:r>
      <w:r w:rsidRPr="001F3EA2">
        <w:t xml:space="preserve">(BSA) affecting captioning on television. The AD trial saw 14 hours of television audio described </w:t>
      </w:r>
      <w:r>
        <w:t xml:space="preserve">over 13 weeks </w:t>
      </w:r>
      <w:r w:rsidRPr="001F3EA2">
        <w:t>on the ABC while the amendments to the BSA saw an increase in captioning quotas and the introduction of minimum standards for caption quality.</w:t>
      </w:r>
      <w:r w:rsidR="00BE7EB4">
        <w:t xml:space="preserve"> </w:t>
      </w:r>
      <w:r w:rsidRPr="001F3EA2">
        <w:t>However, as the year progressed, these initiatives slowed an</w:t>
      </w:r>
      <w:r w:rsidR="003226E6">
        <w:t>d are still not fully resolved.</w:t>
      </w:r>
    </w:p>
    <w:p w:rsidR="00D2400B" w:rsidRPr="001F3EA2" w:rsidRDefault="00D2400B" w:rsidP="00D2400B">
      <w:r w:rsidRPr="001F3EA2">
        <w:t xml:space="preserve">The AD trial started on 5 August 2012 after our involvement, liaising with both the ABC and blind representatives. </w:t>
      </w:r>
      <w:r>
        <w:t xml:space="preserve">The trial </w:t>
      </w:r>
      <w:r w:rsidRPr="001F3EA2">
        <w:t>was fairly unproblematic (some viewers reported issues around not being able to turn the audio description off) and an o</w:t>
      </w:r>
      <w:r w:rsidR="003226E6">
        <w:t>utstanding success for viewers.</w:t>
      </w:r>
    </w:p>
    <w:p w:rsidR="00D2400B" w:rsidRPr="001F3EA2" w:rsidRDefault="00D2400B" w:rsidP="00D2400B">
      <w:r w:rsidRPr="001F3EA2">
        <w:t>As part of a follow-up campaign, Blind Citizens Australia (BCA), Vision Australia, the Australian Communications Consumer Action Network (ACCAN) and MAA encouraged consumers to send postcards and emails to the then Minister Stephen Conroy and the ABC Managing Director Mark Scott, asking them to continue the service. The service did not continue beyond the trial but encouraging statements were made from the Minister about seriously looking into an ongoing service and consultation with blind representatives. Ultimately, these did not happen and the Minister changed to Anthony Albanese with no further progression of the issue. BCA lodged complaints with the Australian Human Rights Commission in an attempt to resolve the impasse. At the end of the year an election was looming and it was likely that the issue would need to be ta</w:t>
      </w:r>
      <w:r w:rsidR="003226E6">
        <w:t>ken up with the new government.</w:t>
      </w:r>
    </w:p>
    <w:p w:rsidR="00D2400B" w:rsidRDefault="00D2400B" w:rsidP="00D2400B">
      <w:r w:rsidRPr="001F3EA2">
        <w:t>The new captioning quotas (which were a result of the amendments made to the BSA) took affect from 1 July and early engagement was around a number of exemption applications, all of which were granted by the regulator, the Australian Communicat</w:t>
      </w:r>
      <w:r>
        <w:t>ions and Media Authority (ACMA)</w:t>
      </w:r>
      <w:r w:rsidRPr="001F3EA2">
        <w:t>. MAA argued against these on the whole, particularly any seeking an exemption beyond one year. In a parallel process, ACMA finessed its caption quality guidelines with a number of public consultation processes. These new regulations were finally released in the latter half of the year, which was too late for any real testing of through the complaints process, particularly as complaints take many months t</w:t>
      </w:r>
      <w:r w:rsidR="003226E6">
        <w:t>o be investigated and resolved.</w:t>
      </w:r>
    </w:p>
    <w:p w:rsidR="0002368B" w:rsidRDefault="00D2400B" w:rsidP="0002368B">
      <w:r w:rsidRPr="001F3EA2">
        <w:t>Similarly, owing to the regulatory set-up of the captioning quota system, we will not know with any certainty some of the channels that have to be captioned and at wh</w:t>
      </w:r>
      <w:r w:rsidR="003226E6">
        <w:t>at level until the end of 2013.</w:t>
      </w:r>
    </w:p>
    <w:p w:rsidR="005363EC" w:rsidRPr="0002368B" w:rsidRDefault="005363EC" w:rsidP="0002368B">
      <w:r>
        <w:rPr>
          <w:sz w:val="48"/>
          <w:szCs w:val="48"/>
        </w:rPr>
        <w:br w:type="page"/>
      </w:r>
    </w:p>
    <w:p w:rsidR="00D2400B" w:rsidRPr="00D2400B" w:rsidRDefault="00D2400B" w:rsidP="00D2400B">
      <w:pPr>
        <w:rPr>
          <w:sz w:val="48"/>
          <w:szCs w:val="48"/>
        </w:rPr>
      </w:pPr>
      <w:r w:rsidRPr="00D2400B">
        <w:rPr>
          <w:sz w:val="48"/>
          <w:szCs w:val="48"/>
        </w:rPr>
        <w:lastRenderedPageBreak/>
        <w:t>CEO’s Report</w:t>
      </w:r>
      <w:r>
        <w:rPr>
          <w:sz w:val="48"/>
          <w:szCs w:val="48"/>
        </w:rPr>
        <w:t xml:space="preserve"> (</w:t>
      </w:r>
      <w:r w:rsidR="00FC5AAD">
        <w:rPr>
          <w:sz w:val="48"/>
          <w:szCs w:val="48"/>
        </w:rPr>
        <w:t>continued)</w:t>
      </w:r>
    </w:p>
    <w:p w:rsidR="00D2400B" w:rsidRPr="00D2400B" w:rsidRDefault="00D2400B" w:rsidP="00D2400B">
      <w:pPr>
        <w:rPr>
          <w:b/>
          <w:sz w:val="24"/>
          <w:szCs w:val="24"/>
        </w:rPr>
      </w:pPr>
      <w:r w:rsidRPr="00D2400B">
        <w:rPr>
          <w:b/>
        </w:rPr>
        <w:t>For the Year Ended 30 June 2013</w:t>
      </w:r>
    </w:p>
    <w:p w:rsidR="00D2400B" w:rsidRPr="001F3EA2" w:rsidRDefault="00D2400B" w:rsidP="00D2400B">
      <w:r w:rsidRPr="001F3EA2">
        <w:t xml:space="preserve">The Department of Communications, Broadband and the Digital Economy undertook some investigation and released a discussion paper on the level of captioning on free-to-air </w:t>
      </w:r>
      <w:proofErr w:type="spellStart"/>
      <w:r w:rsidRPr="001F3EA2">
        <w:t>multichannels</w:t>
      </w:r>
      <w:proofErr w:type="spellEnd"/>
      <w:r w:rsidRPr="001F3EA2">
        <w:t xml:space="preserve">. MAA provided research data and a response to this. Encouragingly some channels (especially ABC and Seven controlled channels) are exceeding the requirements. </w:t>
      </w:r>
    </w:p>
    <w:p w:rsidR="00D2400B" w:rsidRDefault="00D2400B" w:rsidP="00D2400B">
      <w:r w:rsidRPr="001F3EA2">
        <w:t>Finally, there was some progress on the equipment front with Panasonic releasing a television with talking menus. This should lead to more basic accessibility being built into electronic equipment as standard features.</w:t>
      </w:r>
    </w:p>
    <w:p w:rsidR="00D2400B" w:rsidRPr="00BD1C99" w:rsidRDefault="00D2400B" w:rsidP="00D2400B">
      <w:pPr>
        <w:rPr>
          <w:rFonts w:asciiTheme="majorHAnsi" w:eastAsiaTheme="majorEastAsia" w:hAnsiTheme="majorHAnsi" w:cstheme="majorBidi"/>
          <w:b/>
          <w:bCs/>
          <w:color w:val="000000" w:themeColor="accent1" w:themeShade="BF"/>
          <w:sz w:val="28"/>
          <w:szCs w:val="28"/>
        </w:rPr>
      </w:pPr>
      <w:r w:rsidRPr="001F3EA2">
        <w:rPr>
          <w:rFonts w:asciiTheme="majorHAnsi" w:eastAsiaTheme="majorEastAsia" w:hAnsiTheme="majorHAnsi" w:cstheme="majorBidi"/>
          <w:b/>
          <w:bCs/>
          <w:color w:val="000000" w:themeColor="accent1" w:themeShade="BF"/>
          <w:sz w:val="28"/>
          <w:szCs w:val="28"/>
        </w:rPr>
        <w:t xml:space="preserve">Cinema </w:t>
      </w:r>
      <w:r>
        <w:rPr>
          <w:rFonts w:asciiTheme="majorHAnsi" w:eastAsiaTheme="majorEastAsia" w:hAnsiTheme="majorHAnsi" w:cstheme="majorBidi"/>
          <w:b/>
          <w:bCs/>
          <w:color w:val="000000" w:themeColor="accent1" w:themeShade="BF"/>
          <w:sz w:val="28"/>
          <w:szCs w:val="28"/>
        </w:rPr>
        <w:br/>
      </w:r>
      <w:proofErr w:type="spellStart"/>
      <w:r w:rsidRPr="001F3EA2">
        <w:t>Cinema</w:t>
      </w:r>
      <w:proofErr w:type="spellEnd"/>
      <w:r w:rsidRPr="001F3EA2">
        <w:t xml:space="preserve"> access is a very fluid process and despite the newer digital solutions having been around for a number of years, there is still much misinformation in the market about how different equipment operates and what content is available. MAA was a major force in educating all parties in the ongoing cinema discussions. Cinema access specialist, Allayne Woodford, undertook substantial research, including visiting CineEurope in Barcelona and liaising with suppliers around the world. I met with the UK Cinema Exhibitors Association to share information and get their perspective on what is happening. Ultimately we were able to keep the cinema rollout program (which was nearly completed by the end of the year) focussed on practical, real-world information and solutions and countering some very misleading and ill-informed social media campaigns. For their part in rolling out a cinema program ahead of time, the major cinema chains won a Human Rights Award.</w:t>
      </w:r>
    </w:p>
    <w:p w:rsidR="00D2400B" w:rsidRDefault="00D2400B" w:rsidP="00D2400B">
      <w:r w:rsidRPr="001F3EA2">
        <w:t xml:space="preserve">We also continue to work with the independent cinema sector which is in the process of looking at access issues as part of its digital cinema rollout. There have also been some open-captioned initiatives popping up and again we have helped by working with the distributors to sort out licensing and play out issues. </w:t>
      </w:r>
    </w:p>
    <w:p w:rsidR="00D2400B" w:rsidRDefault="00D2400B" w:rsidP="00D2400B">
      <w:r w:rsidRPr="001F3EA2">
        <w:rPr>
          <w:rFonts w:asciiTheme="majorHAnsi" w:eastAsiaTheme="majorEastAsia" w:hAnsiTheme="majorHAnsi" w:cstheme="majorBidi"/>
          <w:b/>
          <w:bCs/>
          <w:color w:val="000000" w:themeColor="accent1" w:themeShade="BF"/>
          <w:sz w:val="28"/>
          <w:szCs w:val="28"/>
        </w:rPr>
        <w:t>Digital media and consumer access</w:t>
      </w:r>
      <w:r>
        <w:br/>
      </w:r>
      <w:r w:rsidRPr="001F3EA2">
        <w:t xml:space="preserve">Our work in digital media has become more focussed as we try to identify issues that need our catalytic approach and complement the extensive online reviews and other information that is provided on the internet. A highlight was the research and production of a report on the accessibility of electronic program guides, undertaken by Chris Mikul and Clarizza Fernandez. We also undertook further research into the access levels of catch up TV and online video services, including important comparisons with other parts of the world. </w:t>
      </w:r>
    </w:p>
    <w:p w:rsidR="00D2400B" w:rsidRPr="001F3EA2" w:rsidRDefault="00D2400B" w:rsidP="00D2400B">
      <w:r w:rsidRPr="001F3EA2">
        <w:t xml:space="preserve">On the project front, our social media guide was translated into Hungarian and taken up as the basic social media accessibility resource by the US Government. We also completed our training resources for Council on the Ageing WA. </w:t>
      </w:r>
    </w:p>
    <w:p w:rsidR="00D2400B" w:rsidRDefault="00D2400B" w:rsidP="00D2400B">
      <w:r>
        <w:br w:type="page"/>
      </w:r>
    </w:p>
    <w:p w:rsidR="00D2400B" w:rsidRPr="00D2400B" w:rsidRDefault="00D2400B" w:rsidP="00D2400B">
      <w:pPr>
        <w:rPr>
          <w:sz w:val="48"/>
          <w:szCs w:val="48"/>
        </w:rPr>
      </w:pPr>
      <w:r w:rsidRPr="00D2400B">
        <w:rPr>
          <w:sz w:val="48"/>
          <w:szCs w:val="48"/>
        </w:rPr>
        <w:lastRenderedPageBreak/>
        <w:t>CEO’s Report</w:t>
      </w:r>
      <w:r>
        <w:rPr>
          <w:sz w:val="48"/>
          <w:szCs w:val="48"/>
        </w:rPr>
        <w:t xml:space="preserve"> (</w:t>
      </w:r>
      <w:r w:rsidR="00FC5AAD">
        <w:rPr>
          <w:sz w:val="48"/>
          <w:szCs w:val="48"/>
        </w:rPr>
        <w:t>continued)</w:t>
      </w:r>
    </w:p>
    <w:p w:rsidR="00D2400B" w:rsidRPr="00D2400B" w:rsidRDefault="00D2400B" w:rsidP="00D2400B">
      <w:pPr>
        <w:rPr>
          <w:b/>
          <w:sz w:val="24"/>
          <w:szCs w:val="24"/>
        </w:rPr>
      </w:pPr>
      <w:r w:rsidRPr="00D2400B">
        <w:rPr>
          <w:b/>
        </w:rPr>
        <w:t>For the Year Ended 30 June 2013</w:t>
      </w:r>
    </w:p>
    <w:p w:rsidR="00D2400B" w:rsidRPr="003226E6" w:rsidRDefault="00D2400B" w:rsidP="00C2688A">
      <w:pPr>
        <w:rPr>
          <w:rFonts w:asciiTheme="majorHAnsi" w:eastAsiaTheme="majorEastAsia" w:hAnsiTheme="majorHAnsi" w:cstheme="majorBidi"/>
          <w:b/>
          <w:bCs/>
          <w:color w:val="000000" w:themeColor="accent1" w:themeShade="BF"/>
          <w:sz w:val="28"/>
          <w:szCs w:val="28"/>
        </w:rPr>
      </w:pPr>
      <w:r w:rsidRPr="003226E6">
        <w:rPr>
          <w:rFonts w:asciiTheme="majorHAnsi" w:eastAsiaTheme="majorEastAsia" w:hAnsiTheme="majorHAnsi" w:cstheme="majorBidi"/>
          <w:b/>
          <w:bCs/>
          <w:color w:val="000000" w:themeColor="accent1" w:themeShade="BF"/>
          <w:sz w:val="28"/>
          <w:szCs w:val="28"/>
        </w:rPr>
        <w:t>Education</w:t>
      </w:r>
    </w:p>
    <w:p w:rsidR="00D2400B" w:rsidRPr="001F3EA2" w:rsidRDefault="00D2400B" w:rsidP="00D2400B">
      <w:r w:rsidRPr="001F3EA2">
        <w:t xml:space="preserve">Our annual </w:t>
      </w:r>
      <w:r w:rsidRPr="001F3EA2">
        <w:rPr>
          <w:b/>
        </w:rPr>
        <w:t>cap that!</w:t>
      </w:r>
      <w:r w:rsidRPr="001F3EA2">
        <w:t xml:space="preserve"> </w:t>
      </w:r>
      <w:proofErr w:type="gramStart"/>
      <w:r w:rsidRPr="001F3EA2">
        <w:t>campaign</w:t>
      </w:r>
      <w:proofErr w:type="gramEnd"/>
      <w:r w:rsidRPr="001F3EA2">
        <w:t xml:space="preserve"> achieved higher levels of success with 375 captions champions supporting this basic awareness message within schools. It was helped by the </w:t>
      </w:r>
      <w:r w:rsidRPr="001F3EA2">
        <w:rPr>
          <w:b/>
        </w:rPr>
        <w:t>cap that!</w:t>
      </w:r>
      <w:r w:rsidRPr="001F3EA2">
        <w:t xml:space="preserve"> </w:t>
      </w:r>
      <w:proofErr w:type="gramStart"/>
      <w:r w:rsidRPr="001F3EA2">
        <w:t>patron</w:t>
      </w:r>
      <w:proofErr w:type="gramEnd"/>
      <w:r w:rsidRPr="001F3EA2">
        <w:t xml:space="preserve">, Senator Ursula Stephens. The year also included planning for </w:t>
      </w:r>
      <w:r w:rsidRPr="001F3EA2">
        <w:rPr>
          <w:b/>
        </w:rPr>
        <w:t>cap that!</w:t>
      </w:r>
      <w:r w:rsidRPr="001F3EA2">
        <w:t xml:space="preserve"> 2013 and a new simplified program promised to blitz the number of champions and levels of support. We are grateful to sponsor Australian Communication Exchange for its support.</w:t>
      </w:r>
    </w:p>
    <w:p w:rsidR="00D2400B" w:rsidRPr="001F3EA2" w:rsidRDefault="00D2400B" w:rsidP="00D2400B">
      <w:r w:rsidRPr="001F3EA2">
        <w:t>Otherwise our education program, managed by Anne McGrath, focussed on the developmental end of the education market with close involvement in the planning and implementation of the Australian Curriculum and resources supporting this.</w:t>
      </w:r>
    </w:p>
    <w:p w:rsidR="00D2400B" w:rsidRDefault="00D2400B" w:rsidP="00D2400B">
      <w:r w:rsidRPr="001F3EA2">
        <w:t>We finished a long-standing grant covering captioned education resources, delivering thousands of hours of captioned material over its life. This has helped to kick start access to education media, both in DVD and online forms. As part of the final grant, we undertook a major review into the needs and experiences of blind and vision impaired school students. This nationwide study looked at technology and media access needs and its recommendations inform some clear direction for the next year.</w:t>
      </w:r>
    </w:p>
    <w:p w:rsidR="00D2400B" w:rsidRPr="00BD1C99" w:rsidRDefault="00D2400B" w:rsidP="00D2400B">
      <w:pPr>
        <w:rPr>
          <w:rFonts w:asciiTheme="majorHAnsi" w:eastAsiaTheme="majorEastAsia" w:hAnsiTheme="majorHAnsi" w:cstheme="majorBidi"/>
          <w:b/>
          <w:bCs/>
          <w:color w:val="000000" w:themeColor="accent1" w:themeShade="BF"/>
          <w:sz w:val="28"/>
          <w:szCs w:val="28"/>
        </w:rPr>
      </w:pPr>
      <w:r w:rsidRPr="001F3EA2">
        <w:rPr>
          <w:rFonts w:asciiTheme="majorHAnsi" w:eastAsiaTheme="majorEastAsia" w:hAnsiTheme="majorHAnsi" w:cstheme="majorBidi"/>
          <w:b/>
          <w:bCs/>
          <w:color w:val="000000" w:themeColor="accent1" w:themeShade="BF"/>
          <w:sz w:val="28"/>
          <w:szCs w:val="28"/>
        </w:rPr>
        <w:t>Professional web accessibility</w:t>
      </w:r>
      <w:r>
        <w:rPr>
          <w:rFonts w:asciiTheme="majorHAnsi" w:eastAsiaTheme="majorEastAsia" w:hAnsiTheme="majorHAnsi" w:cstheme="majorBidi"/>
          <w:b/>
          <w:bCs/>
          <w:color w:val="000000" w:themeColor="accent1" w:themeShade="BF"/>
          <w:sz w:val="28"/>
          <w:szCs w:val="28"/>
        </w:rPr>
        <w:br/>
      </w:r>
      <w:proofErr w:type="gramStart"/>
      <w:r w:rsidRPr="001F3EA2">
        <w:t>Our</w:t>
      </w:r>
      <w:proofErr w:type="gramEnd"/>
      <w:r w:rsidRPr="001F3EA2">
        <w:t xml:space="preserve"> biggest project to date, Access iQ</w:t>
      </w:r>
      <w:r w:rsidRPr="001F3EA2">
        <w:rPr>
          <w:rFonts w:cstheme="minorHAnsi"/>
        </w:rPr>
        <w:t>™</w:t>
      </w:r>
      <w:r w:rsidRPr="001F3EA2">
        <w:t xml:space="preserve">, a social enterprise covering professional web accessibility, was launched after nearly a year of development. This mammoth undertaking, which meets WCAG 2.0 AA standards, quickly attracted audiences to its comprehensive free content. We started to build up some income streams in workshops, listings and direct advice. Towards the end of the year, we decided to scale back the operations a little and allow time for the market to catch up and absorb the deep range of content that Access </w:t>
      </w:r>
      <w:proofErr w:type="gramStart"/>
      <w:r w:rsidRPr="001F3EA2">
        <w:t>iQ</w:t>
      </w:r>
      <w:proofErr w:type="gramEnd"/>
      <w:r w:rsidRPr="001F3EA2">
        <w:rPr>
          <w:rFonts w:cstheme="minorHAnsi"/>
        </w:rPr>
        <w:t>™</w:t>
      </w:r>
      <w:r w:rsidRPr="001F3EA2">
        <w:t xml:space="preserve"> offers. It is fair to say that one of the main drivers, the Federal Government’s National Transition Strategy has been slow off the mark and not delivering the levels of business we first forecast. One of the most pleasing aspects of Access iQ</w:t>
      </w:r>
      <w:r w:rsidRPr="001F3EA2">
        <w:rPr>
          <w:rFonts w:cstheme="minorHAnsi"/>
        </w:rPr>
        <w:t>™</w:t>
      </w:r>
      <w:r w:rsidRPr="001F3EA2">
        <w:t xml:space="preserve"> is the considerable international interest it has garnered, with web professionals from literally every part of the globe spending time on the site and is a full credit to Amajjika Kumara and her team. In the scaling back of Access </w:t>
      </w:r>
      <w:proofErr w:type="gramStart"/>
      <w:r w:rsidRPr="001F3EA2">
        <w:t>iQ</w:t>
      </w:r>
      <w:proofErr w:type="gramEnd"/>
      <w:r w:rsidRPr="001F3EA2">
        <w:rPr>
          <w:rFonts w:cstheme="minorHAnsi"/>
        </w:rPr>
        <w:t>™</w:t>
      </w:r>
      <w:r w:rsidRPr="001F3EA2">
        <w:t xml:space="preserve"> we retained the operational skills and expertise of Chris Pycroft and content writing skills of Clarizza Fernandez. Deputy CEO Natalie Collins is now overseeing Access </w:t>
      </w:r>
      <w:proofErr w:type="gramStart"/>
      <w:r w:rsidRPr="001F3EA2">
        <w:t>iQ</w:t>
      </w:r>
      <w:proofErr w:type="gramEnd"/>
      <w:r w:rsidRPr="001F3EA2">
        <w:rPr>
          <w:rFonts w:cstheme="minorHAnsi"/>
        </w:rPr>
        <w:t>™</w:t>
      </w:r>
      <w:r w:rsidRPr="001F3EA2">
        <w:t xml:space="preserve"> whilst Amajjika is on maternity leave.</w:t>
      </w:r>
    </w:p>
    <w:p w:rsidR="00D2400B" w:rsidRPr="001F3EA2" w:rsidRDefault="00D2400B" w:rsidP="00D2400B">
      <w:r w:rsidRPr="001F3EA2">
        <w:t>A more established professional product is the Professional Certificate in Web Accessibility that we run in partnership with the University of South Australia. This has achieved growing success, with a number of international students also enrolling in this online course. It was also the subject of a finalist paper presented by Dr Scott Hollier at the W4A conference in Rio de Janeiro earlier this year.</w:t>
      </w:r>
    </w:p>
    <w:p w:rsidR="005363EC" w:rsidRDefault="005363EC">
      <w:pPr>
        <w:spacing w:after="200"/>
        <w:rPr>
          <w:sz w:val="48"/>
          <w:szCs w:val="48"/>
        </w:rPr>
      </w:pPr>
      <w:r>
        <w:rPr>
          <w:sz w:val="48"/>
          <w:szCs w:val="48"/>
        </w:rPr>
        <w:br w:type="page"/>
      </w:r>
    </w:p>
    <w:p w:rsidR="00BE7EB4" w:rsidRPr="00D2400B" w:rsidRDefault="00BE7EB4" w:rsidP="00BE7EB4">
      <w:pPr>
        <w:rPr>
          <w:sz w:val="48"/>
          <w:szCs w:val="48"/>
        </w:rPr>
      </w:pPr>
      <w:r w:rsidRPr="00D2400B">
        <w:rPr>
          <w:sz w:val="48"/>
          <w:szCs w:val="48"/>
        </w:rPr>
        <w:lastRenderedPageBreak/>
        <w:t>CEO’s Report</w:t>
      </w:r>
      <w:r>
        <w:rPr>
          <w:sz w:val="48"/>
          <w:szCs w:val="48"/>
        </w:rPr>
        <w:t xml:space="preserve"> (</w:t>
      </w:r>
      <w:r w:rsidR="00FC5AAD">
        <w:rPr>
          <w:sz w:val="48"/>
          <w:szCs w:val="48"/>
        </w:rPr>
        <w:t>continued)</w:t>
      </w:r>
    </w:p>
    <w:p w:rsidR="00BE7EB4" w:rsidRPr="00D2400B" w:rsidRDefault="00BE7EB4" w:rsidP="00BE7EB4">
      <w:pPr>
        <w:rPr>
          <w:b/>
          <w:sz w:val="24"/>
          <w:szCs w:val="24"/>
        </w:rPr>
      </w:pPr>
      <w:r w:rsidRPr="00D2400B">
        <w:rPr>
          <w:b/>
        </w:rPr>
        <w:t>For the Year Ended 30 June 2013</w:t>
      </w:r>
    </w:p>
    <w:p w:rsidR="00D2400B" w:rsidRDefault="00D2400B" w:rsidP="00D2400B">
      <w:r w:rsidRPr="001F3EA2">
        <w:t xml:space="preserve">With the launch of the National Disability Insurance Scheme, we provided a practical guide on basic accessibility for service providers. This was funded by the associated Practical Design Fund and was provided in printed, online accessible and audio book formats. It was launched at the NDIS launch conference and was extremely popular. </w:t>
      </w:r>
    </w:p>
    <w:p w:rsidR="00D2400B" w:rsidRPr="001F3EA2" w:rsidRDefault="00D2400B" w:rsidP="00D2400B">
      <w:r w:rsidRPr="001F3EA2">
        <w:rPr>
          <w:rFonts w:asciiTheme="majorHAnsi" w:eastAsiaTheme="majorEastAsia" w:hAnsiTheme="majorHAnsi" w:cstheme="majorBidi"/>
          <w:b/>
          <w:bCs/>
          <w:color w:val="000000" w:themeColor="accent1" w:themeShade="BF"/>
          <w:sz w:val="28"/>
          <w:szCs w:val="28"/>
        </w:rPr>
        <w:t>Information and communication</w:t>
      </w:r>
      <w:r>
        <w:rPr>
          <w:rFonts w:asciiTheme="majorHAnsi" w:eastAsiaTheme="majorEastAsia" w:hAnsiTheme="majorHAnsi" w:cstheme="majorBidi"/>
          <w:b/>
          <w:bCs/>
          <w:color w:val="000000" w:themeColor="accent1" w:themeShade="BF"/>
          <w:sz w:val="28"/>
          <w:szCs w:val="28"/>
        </w:rPr>
        <w:br/>
      </w:r>
      <w:proofErr w:type="gramStart"/>
      <w:r w:rsidRPr="001F3EA2">
        <w:t>A</w:t>
      </w:r>
      <w:proofErr w:type="gramEnd"/>
      <w:r w:rsidRPr="001F3EA2">
        <w:t xml:space="preserve"> cornerstone of our services is our website and associated news and information services (all provided in accessible forms). The challenge is keeping the information up-to-date, relevant and focussed on mainstream access needs. Our small marketing team, led by Belinda Kerslake and supported by Eliza Cussen and Katie Couani, fulfils this goal, whilst also providing support to our project and business areas. Popular offerings include our social media campaigns, reviews and audio interviews in conjunction with Vision Australia Radio.</w:t>
      </w:r>
    </w:p>
    <w:p w:rsidR="00D2400B" w:rsidRPr="001F3EA2" w:rsidRDefault="00D2400B" w:rsidP="00D2400B">
      <w:r w:rsidRPr="001F3EA2">
        <w:t xml:space="preserve">We are also widely sought for conferences and presentations. Various staff members presented at blind and deaf conferences, the ANZIA Internet Awards, government forums and panels and local professional meet ups and bar camps. I was also the chief judge of Deafness Forum’s annual captioning awards which is a very positive contribution to the development of captioning and well attended by consumers and industry alike. </w:t>
      </w:r>
    </w:p>
    <w:p w:rsidR="00D2400B" w:rsidRDefault="00D2400B" w:rsidP="00D2400B">
      <w:r w:rsidRPr="001F3EA2">
        <w:t xml:space="preserve">We operate as a significant player in the global push for access to media and information. We continue to collaborate with like-minded agencies in Europe, North America and New Zealand, including my presentation and involvement in the Languages and Media Conference in Berlin. A key driver in the access world has been the considerable progress brought about by the implementation of the </w:t>
      </w:r>
      <w:r w:rsidRPr="001F3EA2">
        <w:rPr>
          <w:i/>
        </w:rPr>
        <w:t>21</w:t>
      </w:r>
      <w:r w:rsidRPr="001F3EA2">
        <w:rPr>
          <w:i/>
          <w:vertAlign w:val="superscript"/>
        </w:rPr>
        <w:t>st</w:t>
      </w:r>
      <w:r w:rsidRPr="001F3EA2">
        <w:rPr>
          <w:i/>
        </w:rPr>
        <w:t xml:space="preserve"> Century Communications and Video Accessibility Act</w:t>
      </w:r>
      <w:r w:rsidRPr="001F3EA2">
        <w:t xml:space="preserve"> in the USA. We also investigate and disseminate information on new technology developments in industry and advise how these could be taken up in Australia.</w:t>
      </w:r>
    </w:p>
    <w:p w:rsidR="00D2400B" w:rsidRDefault="00D2400B" w:rsidP="00D2400B">
      <w:r>
        <w:rPr>
          <w:rFonts w:asciiTheme="majorHAnsi" w:eastAsiaTheme="majorEastAsia" w:hAnsiTheme="majorHAnsi" w:cstheme="majorBidi"/>
          <w:b/>
          <w:bCs/>
          <w:color w:val="000000" w:themeColor="accent1" w:themeShade="BF"/>
          <w:sz w:val="28"/>
          <w:szCs w:val="28"/>
        </w:rPr>
        <w:t>Finance and administration</w:t>
      </w:r>
      <w:r>
        <w:br/>
      </w:r>
      <w:r w:rsidRPr="001F3EA2">
        <w:t xml:space="preserve">Media Access Australia, like all not-for-profit organisations, attempts to achieve much with its limited resources. I am thankful that I have a supportive board that has allowed us to operate at a deficit whilst we continue our access work and develop new income sources. MAA’s main income stream is from its investments and they helped us to a more modest loss of just over $500,000 which is well within the limits of financially safe operation given we have built up some capital reserves. </w:t>
      </w:r>
    </w:p>
    <w:p w:rsidR="00D2400B" w:rsidRDefault="00D2400B" w:rsidP="00D2400B">
      <w:r w:rsidRPr="001F3EA2">
        <w:t>We expanded our financial capabilities during the year bringing in Toni Simons to help us with more complex and timely reporting as we manage a range of social enterprise, grant and investment management functions. She is supported by Angela Tragotsalos.</w:t>
      </w:r>
    </w:p>
    <w:p w:rsidR="00D2400B" w:rsidRDefault="00D2400B" w:rsidP="00D2400B">
      <w:r>
        <w:br w:type="page"/>
      </w:r>
    </w:p>
    <w:p w:rsidR="00BE7EB4" w:rsidRPr="00D2400B" w:rsidRDefault="00BE7EB4" w:rsidP="00BE7EB4">
      <w:pPr>
        <w:rPr>
          <w:sz w:val="48"/>
          <w:szCs w:val="48"/>
        </w:rPr>
      </w:pPr>
      <w:r w:rsidRPr="00D2400B">
        <w:rPr>
          <w:sz w:val="48"/>
          <w:szCs w:val="48"/>
        </w:rPr>
        <w:lastRenderedPageBreak/>
        <w:t>CEO’s Report</w:t>
      </w:r>
      <w:r>
        <w:rPr>
          <w:sz w:val="48"/>
          <w:szCs w:val="48"/>
        </w:rPr>
        <w:t xml:space="preserve"> (</w:t>
      </w:r>
      <w:r w:rsidR="00FC5AAD">
        <w:rPr>
          <w:sz w:val="48"/>
          <w:szCs w:val="48"/>
        </w:rPr>
        <w:t>continued)</w:t>
      </w:r>
    </w:p>
    <w:p w:rsidR="00BE7EB4" w:rsidRPr="00D2400B" w:rsidRDefault="00BE7EB4" w:rsidP="00BE7EB4">
      <w:pPr>
        <w:rPr>
          <w:b/>
          <w:sz w:val="24"/>
          <w:szCs w:val="24"/>
        </w:rPr>
      </w:pPr>
      <w:r w:rsidRPr="00D2400B">
        <w:rPr>
          <w:b/>
        </w:rPr>
        <w:t>For the Year Ended 30 June 2013</w:t>
      </w:r>
    </w:p>
    <w:p w:rsidR="00D2400B" w:rsidRPr="00BD1C99" w:rsidRDefault="00D2400B" w:rsidP="00D2400B">
      <w:pPr>
        <w:rPr>
          <w:rFonts w:asciiTheme="majorHAnsi" w:eastAsiaTheme="majorEastAsia" w:hAnsiTheme="majorHAnsi" w:cstheme="majorBidi"/>
          <w:b/>
          <w:bCs/>
          <w:color w:val="000000" w:themeColor="accent1" w:themeShade="BF"/>
          <w:sz w:val="28"/>
          <w:szCs w:val="28"/>
        </w:rPr>
      </w:pPr>
      <w:r w:rsidRPr="001F3EA2">
        <w:rPr>
          <w:rFonts w:asciiTheme="majorHAnsi" w:eastAsiaTheme="majorEastAsia" w:hAnsiTheme="majorHAnsi" w:cstheme="majorBidi"/>
          <w:b/>
          <w:bCs/>
          <w:color w:val="000000" w:themeColor="accent1" w:themeShade="BF"/>
          <w:sz w:val="28"/>
          <w:szCs w:val="28"/>
        </w:rPr>
        <w:t>Board and staffing</w:t>
      </w:r>
      <w:r>
        <w:rPr>
          <w:rFonts w:asciiTheme="majorHAnsi" w:eastAsiaTheme="majorEastAsia" w:hAnsiTheme="majorHAnsi" w:cstheme="majorBidi"/>
          <w:b/>
          <w:bCs/>
          <w:color w:val="000000" w:themeColor="accent1" w:themeShade="BF"/>
          <w:sz w:val="28"/>
          <w:szCs w:val="28"/>
        </w:rPr>
        <w:br/>
      </w:r>
      <w:r w:rsidRPr="001F3EA2">
        <w:t>I am strongly supported by our board and we strengthened our skills base and reach through the appointment of Darren Fittler this year. Darren is a blind lawyer working with Gilbert and Tobin. He provides strong legal advice and a good perspective on access issues for blind people, an important constituency.</w:t>
      </w:r>
    </w:p>
    <w:p w:rsidR="00D2400B" w:rsidRPr="001F3EA2" w:rsidRDefault="00D2400B" w:rsidP="00D2400B">
      <w:r w:rsidRPr="001F3EA2">
        <w:t>Finally, MAA is its people and I have gathered a formidable team over the years who continue to operate with passion and professional expertise. I am often complimented on the quality of our staff and people are surprised at how much we achieve given our relatively small numbers.</w:t>
      </w:r>
      <w:r w:rsidR="00BE7EB4">
        <w:t xml:space="preserve"> </w:t>
      </w:r>
      <w:r w:rsidRPr="001F3EA2">
        <w:t>A key person in this is our Deputy CEO, Natalie Collins, who has professionalised many of our systems and approaches and co-manages the organisation with me.</w:t>
      </w:r>
    </w:p>
    <w:p w:rsidR="00D2400B" w:rsidRPr="003226E6" w:rsidRDefault="00D2400B" w:rsidP="003226E6">
      <w:pPr>
        <w:rPr>
          <w:rFonts w:asciiTheme="majorHAnsi" w:hAnsiTheme="majorHAnsi" w:cstheme="majorHAnsi"/>
          <w:sz w:val="28"/>
          <w:szCs w:val="28"/>
        </w:rPr>
      </w:pPr>
      <w:r w:rsidRPr="003226E6">
        <w:rPr>
          <w:rFonts w:asciiTheme="majorHAnsi" w:hAnsiTheme="majorHAnsi" w:cstheme="majorHAnsi"/>
          <w:sz w:val="28"/>
          <w:szCs w:val="28"/>
        </w:rPr>
        <w:t>Staff at 30 June</w:t>
      </w:r>
    </w:p>
    <w:p w:rsidR="00D2400B" w:rsidRPr="001F3EA2" w:rsidRDefault="00D2400B" w:rsidP="00D2400B">
      <w:r w:rsidRPr="001F3EA2">
        <w:t>Alex Varley, Allayne Woodford, Amajjika Kumara (on maternity leave), Angela Tragotsalos, Anne McGrath, Belinda Kerslake, Chris Mikul, Clarizza Fernandez, Katie Couani, Eliza Cussen, Natalie Collins, Sarah Pulis, Scott Hollier, Toni Simons.</w:t>
      </w:r>
    </w:p>
    <w:p w:rsidR="00D2400B" w:rsidRPr="003226E6" w:rsidRDefault="00D2400B" w:rsidP="003226E6">
      <w:pPr>
        <w:rPr>
          <w:rFonts w:asciiTheme="majorHAnsi" w:hAnsiTheme="majorHAnsi" w:cstheme="majorHAnsi"/>
          <w:sz w:val="28"/>
        </w:rPr>
      </w:pPr>
      <w:r w:rsidRPr="003226E6">
        <w:rPr>
          <w:rFonts w:asciiTheme="majorHAnsi" w:hAnsiTheme="majorHAnsi" w:cstheme="majorHAnsi"/>
          <w:sz w:val="28"/>
        </w:rPr>
        <w:t>Staff who finished during the year</w:t>
      </w:r>
    </w:p>
    <w:p w:rsidR="00D2400B" w:rsidRDefault="00D2400B" w:rsidP="00B83D94">
      <w:pPr>
        <w:spacing w:after="240"/>
      </w:pPr>
      <w:r w:rsidRPr="001F3EA2">
        <w:t xml:space="preserve">Joel Handler, Karina Scott, Kristy </w:t>
      </w:r>
      <w:proofErr w:type="spellStart"/>
      <w:r w:rsidRPr="001F3EA2">
        <w:t>Jaimon</w:t>
      </w:r>
      <w:proofErr w:type="spellEnd"/>
      <w:r w:rsidRPr="001F3EA2">
        <w:t>, Zennith Geisler</w:t>
      </w:r>
      <w:r>
        <w:t>.</w:t>
      </w:r>
    </w:p>
    <w:p w:rsidR="007F67A5" w:rsidRDefault="007F67A5" w:rsidP="007F67A5">
      <w:pPr>
        <w:spacing w:after="0"/>
      </w:pPr>
      <w:r>
        <w:rPr>
          <w:noProof/>
          <w:lang w:eastAsia="en-AU"/>
        </w:rPr>
        <w:drawing>
          <wp:inline distT="0" distB="0" distL="0" distR="0">
            <wp:extent cx="1466850" cy="46050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x Varley digital signatur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65875" cy="460198"/>
                    </a:xfrm>
                    <a:prstGeom prst="rect">
                      <a:avLst/>
                    </a:prstGeom>
                  </pic:spPr>
                </pic:pic>
              </a:graphicData>
            </a:graphic>
          </wp:inline>
        </w:drawing>
      </w:r>
    </w:p>
    <w:p w:rsidR="00D2400B" w:rsidRPr="001F3EA2" w:rsidRDefault="00D2400B" w:rsidP="007F67A5">
      <w:pPr>
        <w:spacing w:after="120"/>
        <w:sectPr w:rsidR="00D2400B" w:rsidRPr="001F3EA2" w:rsidSect="00153097">
          <w:footerReference w:type="default" r:id="rId17"/>
          <w:pgSz w:w="11904" w:h="16836"/>
          <w:pgMar w:top="1440" w:right="1440" w:bottom="1440" w:left="1440" w:header="720" w:footer="0" w:gutter="0"/>
          <w:pgNumType w:start="3"/>
          <w:cols w:space="720"/>
          <w:noEndnote/>
          <w:docGrid w:linePitch="299"/>
        </w:sectPr>
      </w:pPr>
      <w:r w:rsidRPr="001F3EA2">
        <w:t>Ale</w:t>
      </w:r>
      <w:r w:rsidR="00BE7EB4">
        <w:t>x Varley</w:t>
      </w:r>
      <w:r w:rsidR="00BE7EB4">
        <w:br/>
      </w:r>
      <w:r w:rsidR="00BE7EB4">
        <w:rPr>
          <w:b/>
        </w:rPr>
        <w:t>CHIEF EXECUTIVE OFFICER</w:t>
      </w:r>
    </w:p>
    <w:p w:rsidR="00BE7EB4" w:rsidRPr="00134384" w:rsidRDefault="00BE7EB4" w:rsidP="00134384">
      <w:pPr>
        <w:pStyle w:val="Heading1"/>
      </w:pPr>
      <w:bookmarkStart w:id="3" w:name="_Toc370126164"/>
      <w:r w:rsidRPr="00134384">
        <w:lastRenderedPageBreak/>
        <w:t>Directors’ Report</w:t>
      </w:r>
      <w:bookmarkEnd w:id="3"/>
    </w:p>
    <w:p w:rsidR="00BE7EB4" w:rsidRPr="00D2400B" w:rsidRDefault="00BE7EB4" w:rsidP="00BE7EB4">
      <w:pPr>
        <w:rPr>
          <w:b/>
          <w:sz w:val="24"/>
          <w:szCs w:val="24"/>
        </w:rPr>
      </w:pPr>
      <w:r w:rsidRPr="00D2400B">
        <w:rPr>
          <w:b/>
        </w:rPr>
        <w:t>For the Year Ended 30 June 2013</w:t>
      </w:r>
    </w:p>
    <w:p w:rsidR="00D2400B" w:rsidRPr="00BE7EB4" w:rsidRDefault="00D2400B" w:rsidP="00BE7EB4">
      <w:pPr>
        <w:rPr>
          <w:rStyle w:val="Emphasis"/>
        </w:rPr>
      </w:pPr>
      <w:r w:rsidRPr="00BE7EB4">
        <w:rPr>
          <w:rStyle w:val="Emphasis"/>
        </w:rPr>
        <w:t xml:space="preserve">Information about the directors </w:t>
      </w:r>
    </w:p>
    <w:p w:rsidR="00D2400B" w:rsidRPr="00BF6777" w:rsidRDefault="00D2400B" w:rsidP="00BE7EB4">
      <w:r w:rsidRPr="00BF6777">
        <w:t>The names of the directors in office at any time during, or since the end of, the year are:</w:t>
      </w:r>
    </w:p>
    <w:tbl>
      <w:tblPr>
        <w:tblStyle w:val="TableGrid1"/>
        <w:tblW w:w="9983" w:type="dxa"/>
        <w:tblLook w:val="04A0" w:firstRow="1" w:lastRow="0" w:firstColumn="1" w:lastColumn="0" w:noHBand="0" w:noVBand="1"/>
        <w:tblDescription w:val="directors' details"/>
      </w:tblPr>
      <w:tblGrid>
        <w:gridCol w:w="2235"/>
        <w:gridCol w:w="1984"/>
        <w:gridCol w:w="3827"/>
        <w:gridCol w:w="1937"/>
      </w:tblGrid>
      <w:tr w:rsidR="00BE7EB4" w:rsidRPr="0086196D" w:rsidTr="007309FE">
        <w:trPr>
          <w:cantSplit/>
          <w:tblHeader/>
        </w:trPr>
        <w:tc>
          <w:tcPr>
            <w:tcW w:w="2235" w:type="dxa"/>
          </w:tcPr>
          <w:p w:rsidR="00BE7EB4" w:rsidRPr="00BE7EB4" w:rsidRDefault="00BE7EB4" w:rsidP="00BE7EB4">
            <w:pPr>
              <w:rPr>
                <w:b/>
              </w:rPr>
            </w:pPr>
            <w:r>
              <w:rPr>
                <w:b/>
              </w:rPr>
              <w:t>Name</w:t>
            </w:r>
          </w:p>
        </w:tc>
        <w:tc>
          <w:tcPr>
            <w:tcW w:w="1984" w:type="dxa"/>
          </w:tcPr>
          <w:p w:rsidR="00BE7EB4" w:rsidRPr="00BE7EB4" w:rsidRDefault="00BE7EB4" w:rsidP="00BE7EB4">
            <w:pPr>
              <w:rPr>
                <w:b/>
              </w:rPr>
            </w:pPr>
            <w:r>
              <w:rPr>
                <w:b/>
              </w:rPr>
              <w:t>Qualifications</w:t>
            </w:r>
          </w:p>
        </w:tc>
        <w:tc>
          <w:tcPr>
            <w:tcW w:w="3827" w:type="dxa"/>
          </w:tcPr>
          <w:p w:rsidR="00BE7EB4" w:rsidRPr="00BE7EB4" w:rsidRDefault="00BE7EB4" w:rsidP="00BE7EB4">
            <w:pPr>
              <w:rPr>
                <w:b/>
              </w:rPr>
            </w:pPr>
            <w:r>
              <w:rPr>
                <w:b/>
              </w:rPr>
              <w:t>Directorships and other experience</w:t>
            </w:r>
          </w:p>
        </w:tc>
        <w:tc>
          <w:tcPr>
            <w:tcW w:w="1937" w:type="dxa"/>
          </w:tcPr>
          <w:p w:rsidR="00BE7EB4" w:rsidRPr="00BE7EB4" w:rsidRDefault="00BE7EB4" w:rsidP="00BE7EB4">
            <w:pPr>
              <w:rPr>
                <w:b/>
              </w:rPr>
            </w:pPr>
            <w:r>
              <w:rPr>
                <w:b/>
              </w:rPr>
              <w:t>Special responsibilities</w:t>
            </w:r>
          </w:p>
        </w:tc>
      </w:tr>
      <w:tr w:rsidR="00D2400B" w:rsidRPr="0086196D" w:rsidTr="007309FE">
        <w:trPr>
          <w:cantSplit/>
        </w:trPr>
        <w:tc>
          <w:tcPr>
            <w:tcW w:w="2235" w:type="dxa"/>
          </w:tcPr>
          <w:p w:rsidR="00D2400B" w:rsidRPr="00280393" w:rsidRDefault="007E4389" w:rsidP="00BE7EB4">
            <w:r>
              <w:t xml:space="preserve">Helen </w:t>
            </w:r>
            <w:proofErr w:type="gramStart"/>
            <w:r>
              <w:t>Crossing</w:t>
            </w:r>
            <w:proofErr w:type="gramEnd"/>
            <w:r>
              <w:br/>
            </w:r>
            <w:r w:rsidR="00D2400B">
              <w:t>(age 63</w:t>
            </w:r>
            <w:r w:rsidR="00D2400B" w:rsidRPr="00280393">
              <w:t>). Director since 1997</w:t>
            </w:r>
          </w:p>
        </w:tc>
        <w:tc>
          <w:tcPr>
            <w:tcW w:w="1984" w:type="dxa"/>
          </w:tcPr>
          <w:p w:rsidR="00D2400B" w:rsidRPr="00280393" w:rsidRDefault="00D2400B" w:rsidP="00BE7EB4">
            <w:r w:rsidRPr="00280393">
              <w:t xml:space="preserve">B. Sc. (ANU), Dip. Ed. (CCAE), M. Ed. (CCAE), Registered Psychologist </w:t>
            </w:r>
          </w:p>
        </w:tc>
        <w:tc>
          <w:tcPr>
            <w:tcW w:w="3827" w:type="dxa"/>
          </w:tcPr>
          <w:p w:rsidR="00D2400B" w:rsidRPr="00280393" w:rsidRDefault="00D2400B" w:rsidP="00BE7EB4">
            <w:r>
              <w:t xml:space="preserve">Managing </w:t>
            </w:r>
            <w:r w:rsidRPr="00280393">
              <w:t>Director of HCA Consulting,</w:t>
            </w:r>
            <w:r>
              <w:t xml:space="preserve"> D</w:t>
            </w:r>
            <w:r w:rsidRPr="00280393">
              <w:t>irector of Inspirational Workplaces, Member of Australian Psychological Society</w:t>
            </w:r>
          </w:p>
        </w:tc>
        <w:tc>
          <w:tcPr>
            <w:tcW w:w="1937" w:type="dxa"/>
          </w:tcPr>
          <w:p w:rsidR="00D2400B" w:rsidRPr="00280393" w:rsidRDefault="00D2400B" w:rsidP="00BE7EB4"/>
        </w:tc>
      </w:tr>
      <w:tr w:rsidR="00D2400B" w:rsidRPr="0086196D" w:rsidTr="007309FE">
        <w:trPr>
          <w:cantSplit/>
        </w:trPr>
        <w:tc>
          <w:tcPr>
            <w:tcW w:w="2235" w:type="dxa"/>
          </w:tcPr>
          <w:p w:rsidR="00D2400B" w:rsidRDefault="00D2400B" w:rsidP="00BE7EB4">
            <w:r w:rsidRPr="00280393">
              <w:t>Graham W. Jones (age 71). Director since 1997</w:t>
            </w:r>
          </w:p>
          <w:p w:rsidR="00D2400B" w:rsidRPr="00280393" w:rsidRDefault="00D2400B" w:rsidP="006355F7">
            <w:r>
              <w:t>Ceased 22 July 2012</w:t>
            </w:r>
            <w:r w:rsidR="00E01B69">
              <w:t xml:space="preserve">. Graham </w:t>
            </w:r>
            <w:r w:rsidR="002B123A">
              <w:t xml:space="preserve">Jones </w:t>
            </w:r>
            <w:r w:rsidR="00E01B69">
              <w:t>passed away in July 2013.</w:t>
            </w:r>
          </w:p>
        </w:tc>
        <w:tc>
          <w:tcPr>
            <w:tcW w:w="1984" w:type="dxa"/>
          </w:tcPr>
          <w:p w:rsidR="00D2400B" w:rsidRPr="00280393" w:rsidRDefault="00D2400B" w:rsidP="00BE7EB4">
            <w:r w:rsidRPr="00280393">
              <w:t>FCPA, FAICD</w:t>
            </w:r>
          </w:p>
        </w:tc>
        <w:tc>
          <w:tcPr>
            <w:tcW w:w="3827" w:type="dxa"/>
          </w:tcPr>
          <w:p w:rsidR="00D2400B" w:rsidRPr="00280393" w:rsidRDefault="00D2400B" w:rsidP="00BE7EB4">
            <w:r w:rsidRPr="00280393">
              <w:t xml:space="preserve">Director of Wallace, Jones &amp; Hood Pty and </w:t>
            </w:r>
            <w:proofErr w:type="spellStart"/>
            <w:r w:rsidRPr="00280393">
              <w:t>oOh</w:t>
            </w:r>
            <w:proofErr w:type="spellEnd"/>
            <w:r w:rsidRPr="00280393">
              <w:t>!</w:t>
            </w:r>
            <w:r>
              <w:t xml:space="preserve"> </w:t>
            </w:r>
            <w:r w:rsidRPr="00280393">
              <w:t>Media Pty Limited</w:t>
            </w:r>
          </w:p>
        </w:tc>
        <w:tc>
          <w:tcPr>
            <w:tcW w:w="1937" w:type="dxa"/>
          </w:tcPr>
          <w:p w:rsidR="00D2400B" w:rsidRPr="00280393" w:rsidRDefault="00D2400B" w:rsidP="00BE7EB4"/>
        </w:tc>
      </w:tr>
      <w:tr w:rsidR="00D2400B" w:rsidRPr="0086196D" w:rsidTr="007309FE">
        <w:trPr>
          <w:cantSplit/>
        </w:trPr>
        <w:tc>
          <w:tcPr>
            <w:tcW w:w="2235" w:type="dxa"/>
          </w:tcPr>
          <w:p w:rsidR="00D2400B" w:rsidRPr="00280393" w:rsidRDefault="00D2400B" w:rsidP="00BE7EB4">
            <w:r w:rsidRPr="00280393">
              <w:t xml:space="preserve">Ian Roache </w:t>
            </w:r>
            <w:r w:rsidR="007309FE">
              <w:br/>
            </w:r>
            <w:r w:rsidRPr="00280393">
              <w:t>(age 6</w:t>
            </w:r>
            <w:r>
              <w:t>9</w:t>
            </w:r>
            <w:r w:rsidRPr="00280393">
              <w:t>). Director since 2001</w:t>
            </w:r>
          </w:p>
        </w:tc>
        <w:tc>
          <w:tcPr>
            <w:tcW w:w="1984" w:type="dxa"/>
          </w:tcPr>
          <w:p w:rsidR="00D2400B" w:rsidRPr="00280393" w:rsidRDefault="00D2400B" w:rsidP="00BE7EB4">
            <w:r w:rsidRPr="00280393">
              <w:t>Not available</w:t>
            </w:r>
          </w:p>
        </w:tc>
        <w:tc>
          <w:tcPr>
            <w:tcW w:w="3827" w:type="dxa"/>
          </w:tcPr>
          <w:p w:rsidR="00D2400B" w:rsidRPr="00280393" w:rsidRDefault="00D2400B" w:rsidP="00BE7EB4">
            <w:r w:rsidRPr="00280393">
              <w:t>Director of Lodestone Direction Pty Limited and Industry Capability Network (NSW) Limited</w:t>
            </w:r>
          </w:p>
        </w:tc>
        <w:tc>
          <w:tcPr>
            <w:tcW w:w="1937" w:type="dxa"/>
          </w:tcPr>
          <w:p w:rsidR="00D2400B" w:rsidRPr="00280393" w:rsidRDefault="00D2400B" w:rsidP="00BE7EB4">
            <w:r>
              <w:t xml:space="preserve">Chairman and </w:t>
            </w:r>
            <w:r w:rsidRPr="00280393">
              <w:t>Finance Committee</w:t>
            </w:r>
          </w:p>
        </w:tc>
      </w:tr>
      <w:tr w:rsidR="00D2400B" w:rsidRPr="0086196D" w:rsidTr="007309FE">
        <w:trPr>
          <w:cantSplit/>
        </w:trPr>
        <w:tc>
          <w:tcPr>
            <w:tcW w:w="2235" w:type="dxa"/>
          </w:tcPr>
          <w:p w:rsidR="00D2400B" w:rsidRPr="00280393" w:rsidRDefault="007309FE" w:rsidP="00BE7EB4">
            <w:r>
              <w:t xml:space="preserve">John </w:t>
            </w:r>
            <w:proofErr w:type="spellStart"/>
            <w:proofErr w:type="gramStart"/>
            <w:r>
              <w:t>Losco</w:t>
            </w:r>
            <w:proofErr w:type="spellEnd"/>
            <w:proofErr w:type="gramEnd"/>
            <w:r>
              <w:br/>
            </w:r>
            <w:r w:rsidR="00D2400B" w:rsidRPr="00280393">
              <w:t>(age 6</w:t>
            </w:r>
            <w:r w:rsidR="00D2400B">
              <w:t>7</w:t>
            </w:r>
            <w:r w:rsidR="00D2400B" w:rsidRPr="00280393">
              <w:t>). Director since 1994</w:t>
            </w:r>
          </w:p>
        </w:tc>
        <w:tc>
          <w:tcPr>
            <w:tcW w:w="1984" w:type="dxa"/>
          </w:tcPr>
          <w:p w:rsidR="00D2400B" w:rsidRPr="00280393" w:rsidRDefault="00D2400B" w:rsidP="00BE7EB4">
            <w:r w:rsidRPr="00280393">
              <w:t>B.Sc. B.EE. (Hons) (Sydney University), M.B.A. (University of NSW)</w:t>
            </w:r>
          </w:p>
        </w:tc>
        <w:tc>
          <w:tcPr>
            <w:tcW w:w="3827" w:type="dxa"/>
          </w:tcPr>
          <w:p w:rsidR="00D2400B" w:rsidRPr="00280393" w:rsidRDefault="00D2400B" w:rsidP="00BE7EB4">
            <w:r w:rsidRPr="00280393">
              <w:t>Not available</w:t>
            </w:r>
          </w:p>
        </w:tc>
        <w:tc>
          <w:tcPr>
            <w:tcW w:w="1937" w:type="dxa"/>
          </w:tcPr>
          <w:p w:rsidR="00D2400B" w:rsidRPr="00280393" w:rsidRDefault="00D2400B" w:rsidP="00BE7EB4"/>
        </w:tc>
      </w:tr>
      <w:tr w:rsidR="00D2400B" w:rsidRPr="0086196D" w:rsidTr="007309FE">
        <w:trPr>
          <w:cantSplit/>
        </w:trPr>
        <w:tc>
          <w:tcPr>
            <w:tcW w:w="2235" w:type="dxa"/>
          </w:tcPr>
          <w:p w:rsidR="00D2400B" w:rsidRPr="00280393" w:rsidRDefault="00D2400B" w:rsidP="00BE7EB4">
            <w:r w:rsidRPr="00280393">
              <w:t xml:space="preserve">Victoria M. </w:t>
            </w:r>
            <w:proofErr w:type="spellStart"/>
            <w:r w:rsidRPr="00280393">
              <w:t>Rubensohn</w:t>
            </w:r>
            <w:proofErr w:type="spellEnd"/>
            <w:r w:rsidRPr="00280393">
              <w:t xml:space="preserve"> AM </w:t>
            </w:r>
            <w:r w:rsidR="007309FE">
              <w:br/>
            </w:r>
            <w:r w:rsidRPr="00280393">
              <w:t>(age 6</w:t>
            </w:r>
            <w:r>
              <w:t>5</w:t>
            </w:r>
            <w:r w:rsidRPr="00280393">
              <w:t>). Director since 1997</w:t>
            </w:r>
          </w:p>
        </w:tc>
        <w:tc>
          <w:tcPr>
            <w:tcW w:w="1984" w:type="dxa"/>
          </w:tcPr>
          <w:p w:rsidR="00D2400B" w:rsidRPr="00280393" w:rsidRDefault="00D2400B" w:rsidP="00BE7EB4">
            <w:r w:rsidRPr="00280393">
              <w:t>B.A, M.A (Sydney University), LLB (University of NSW), Master of Human Rights (Sydney University)</w:t>
            </w:r>
          </w:p>
        </w:tc>
        <w:tc>
          <w:tcPr>
            <w:tcW w:w="3827" w:type="dxa"/>
          </w:tcPr>
          <w:p w:rsidR="00D2400B" w:rsidRPr="00280393" w:rsidRDefault="00D2400B" w:rsidP="00BE7EB4">
            <w:r w:rsidRPr="00280393">
              <w:t>International Communications Consultant. Directorships: Communications Compliance Ltd, Communications Law Centre. Convenor, Classification Review Board. Member of Standing Advisory Committee of ACCAN. Previously Chairman, Telephone Information Services Standards Council, President and Director Communications and Media Law Association, Director and Secretary of Fred Hollows Foundation.</w:t>
            </w:r>
          </w:p>
        </w:tc>
        <w:tc>
          <w:tcPr>
            <w:tcW w:w="1937" w:type="dxa"/>
          </w:tcPr>
          <w:p w:rsidR="00D2400B" w:rsidRPr="00280393" w:rsidRDefault="00D2400B" w:rsidP="00BE7EB4">
            <w:r w:rsidRPr="00280393">
              <w:t>Company secretary</w:t>
            </w:r>
          </w:p>
        </w:tc>
      </w:tr>
    </w:tbl>
    <w:p w:rsidR="00515B5E" w:rsidRDefault="00515B5E">
      <w:r>
        <w:br w:type="page"/>
      </w:r>
    </w:p>
    <w:p w:rsidR="00515B5E" w:rsidRPr="00D2400B" w:rsidRDefault="00515B5E" w:rsidP="00515B5E">
      <w:pPr>
        <w:rPr>
          <w:sz w:val="48"/>
          <w:szCs w:val="48"/>
        </w:rPr>
      </w:pPr>
      <w:r>
        <w:rPr>
          <w:sz w:val="48"/>
          <w:szCs w:val="48"/>
        </w:rPr>
        <w:lastRenderedPageBreak/>
        <w:t>Directors’</w:t>
      </w:r>
      <w:r w:rsidRPr="00D2400B">
        <w:rPr>
          <w:sz w:val="48"/>
          <w:szCs w:val="48"/>
        </w:rPr>
        <w:t xml:space="preserve"> Report</w:t>
      </w:r>
      <w:r>
        <w:rPr>
          <w:sz w:val="48"/>
          <w:szCs w:val="48"/>
        </w:rPr>
        <w:t xml:space="preserve"> (continued)</w:t>
      </w:r>
    </w:p>
    <w:p w:rsidR="00515B5E" w:rsidRPr="00D2400B" w:rsidRDefault="00515B5E" w:rsidP="00515B5E">
      <w:pPr>
        <w:spacing w:after="360"/>
        <w:rPr>
          <w:b/>
          <w:sz w:val="24"/>
          <w:szCs w:val="24"/>
        </w:rPr>
      </w:pPr>
      <w:r w:rsidRPr="00D2400B">
        <w:rPr>
          <w:b/>
        </w:rPr>
        <w:t>For the Year Ended 30 June 2013</w:t>
      </w:r>
    </w:p>
    <w:tbl>
      <w:tblPr>
        <w:tblStyle w:val="TableGrid1"/>
        <w:tblW w:w="9983" w:type="dxa"/>
        <w:tblLook w:val="04A0" w:firstRow="1" w:lastRow="0" w:firstColumn="1" w:lastColumn="0" w:noHBand="0" w:noVBand="1"/>
        <w:tblDescription w:val="directors' details"/>
      </w:tblPr>
      <w:tblGrid>
        <w:gridCol w:w="2235"/>
        <w:gridCol w:w="1984"/>
        <w:gridCol w:w="3827"/>
        <w:gridCol w:w="1937"/>
      </w:tblGrid>
      <w:tr w:rsidR="00515B5E" w:rsidRPr="0086196D" w:rsidTr="00515B5E">
        <w:tc>
          <w:tcPr>
            <w:tcW w:w="2235" w:type="dxa"/>
          </w:tcPr>
          <w:p w:rsidR="00515B5E" w:rsidRPr="00BE7EB4" w:rsidRDefault="00515B5E" w:rsidP="00515B5E">
            <w:pPr>
              <w:rPr>
                <w:b/>
              </w:rPr>
            </w:pPr>
            <w:r>
              <w:rPr>
                <w:b/>
              </w:rPr>
              <w:t>Name</w:t>
            </w:r>
          </w:p>
        </w:tc>
        <w:tc>
          <w:tcPr>
            <w:tcW w:w="1984" w:type="dxa"/>
          </w:tcPr>
          <w:p w:rsidR="00515B5E" w:rsidRPr="00BE7EB4" w:rsidRDefault="00515B5E" w:rsidP="00515B5E">
            <w:pPr>
              <w:rPr>
                <w:b/>
              </w:rPr>
            </w:pPr>
            <w:r>
              <w:rPr>
                <w:b/>
              </w:rPr>
              <w:t>Qualifications</w:t>
            </w:r>
          </w:p>
        </w:tc>
        <w:tc>
          <w:tcPr>
            <w:tcW w:w="3827" w:type="dxa"/>
          </w:tcPr>
          <w:p w:rsidR="00515B5E" w:rsidRPr="00BE7EB4" w:rsidRDefault="00515B5E" w:rsidP="00515B5E">
            <w:pPr>
              <w:rPr>
                <w:b/>
              </w:rPr>
            </w:pPr>
            <w:r>
              <w:rPr>
                <w:b/>
              </w:rPr>
              <w:t>Directorships and other experience</w:t>
            </w:r>
          </w:p>
        </w:tc>
        <w:tc>
          <w:tcPr>
            <w:tcW w:w="1937" w:type="dxa"/>
          </w:tcPr>
          <w:p w:rsidR="00515B5E" w:rsidRPr="00BE7EB4" w:rsidRDefault="00515B5E" w:rsidP="00515B5E">
            <w:pPr>
              <w:rPr>
                <w:b/>
              </w:rPr>
            </w:pPr>
            <w:r>
              <w:rPr>
                <w:b/>
              </w:rPr>
              <w:t>Special responsibilities</w:t>
            </w:r>
          </w:p>
        </w:tc>
      </w:tr>
      <w:tr w:rsidR="00D2400B" w:rsidRPr="0086196D" w:rsidTr="007309FE">
        <w:trPr>
          <w:cantSplit/>
        </w:trPr>
        <w:tc>
          <w:tcPr>
            <w:tcW w:w="2235" w:type="dxa"/>
          </w:tcPr>
          <w:p w:rsidR="00D2400B" w:rsidRPr="00280393" w:rsidRDefault="00D2400B" w:rsidP="00BE7EB4">
            <w:r w:rsidRPr="00280393">
              <w:t>Stephen H Wall (age 6</w:t>
            </w:r>
            <w:r>
              <w:t>7).</w:t>
            </w:r>
            <w:r w:rsidRPr="00280393">
              <w:t xml:space="preserve"> Director since 2006</w:t>
            </w:r>
          </w:p>
        </w:tc>
        <w:tc>
          <w:tcPr>
            <w:tcW w:w="1984" w:type="dxa"/>
          </w:tcPr>
          <w:p w:rsidR="00D2400B" w:rsidRPr="00280393" w:rsidRDefault="00D2400B" w:rsidP="00BE7EB4">
            <w:pPr>
              <w:rPr>
                <w:color w:val="000000"/>
              </w:rPr>
            </w:pPr>
            <w:proofErr w:type="spellStart"/>
            <w:r w:rsidRPr="00280393">
              <w:rPr>
                <w:color w:val="000000"/>
              </w:rPr>
              <w:t>B.Ec</w:t>
            </w:r>
            <w:proofErr w:type="spellEnd"/>
            <w:r w:rsidRPr="00280393">
              <w:rPr>
                <w:color w:val="000000"/>
              </w:rPr>
              <w:t>. University of Sydney</w:t>
            </w:r>
          </w:p>
        </w:tc>
        <w:tc>
          <w:tcPr>
            <w:tcW w:w="3827" w:type="dxa"/>
          </w:tcPr>
          <w:p w:rsidR="00D2400B" w:rsidRPr="00280393" w:rsidRDefault="00D2400B" w:rsidP="00BE7EB4">
            <w:pPr>
              <w:rPr>
                <w:color w:val="000000"/>
              </w:rPr>
            </w:pPr>
            <w:r w:rsidRPr="00280393">
              <w:rPr>
                <w:color w:val="000000"/>
              </w:rPr>
              <w:t>Previously a director of the Australian Caption Centre 1994-2000. Experienced board member of public, private and no</w:t>
            </w:r>
            <w:r>
              <w:rPr>
                <w:color w:val="000000"/>
              </w:rPr>
              <w:t>t</w:t>
            </w:r>
            <w:r w:rsidRPr="00280393">
              <w:rPr>
                <w:color w:val="000000"/>
              </w:rPr>
              <w:t>-for-profit companies.</w:t>
            </w:r>
          </w:p>
        </w:tc>
        <w:tc>
          <w:tcPr>
            <w:tcW w:w="1937" w:type="dxa"/>
          </w:tcPr>
          <w:p w:rsidR="00D2400B" w:rsidRPr="00280393" w:rsidRDefault="00D2400B" w:rsidP="00BE7EB4">
            <w:r>
              <w:t>Finance Committee</w:t>
            </w:r>
          </w:p>
        </w:tc>
      </w:tr>
      <w:tr w:rsidR="00D2400B" w:rsidRPr="0086196D" w:rsidTr="007309FE">
        <w:trPr>
          <w:cantSplit/>
        </w:trPr>
        <w:tc>
          <w:tcPr>
            <w:tcW w:w="2235" w:type="dxa"/>
          </w:tcPr>
          <w:p w:rsidR="00D2400B" w:rsidRPr="00280393" w:rsidRDefault="00D2400B" w:rsidP="00BE7EB4">
            <w:r>
              <w:t>Darren David Fittler (age 38). Director since 2012</w:t>
            </w:r>
          </w:p>
        </w:tc>
        <w:tc>
          <w:tcPr>
            <w:tcW w:w="1984" w:type="dxa"/>
          </w:tcPr>
          <w:p w:rsidR="00D2400B" w:rsidRPr="00280393" w:rsidRDefault="00D2400B" w:rsidP="00BE7EB4">
            <w:pPr>
              <w:rPr>
                <w:color w:val="000000"/>
              </w:rPr>
            </w:pPr>
            <w:r>
              <w:rPr>
                <w:color w:val="000000"/>
              </w:rPr>
              <w:t>Bachelor of Laws (LLB)</w:t>
            </w:r>
          </w:p>
        </w:tc>
        <w:tc>
          <w:tcPr>
            <w:tcW w:w="3827" w:type="dxa"/>
          </w:tcPr>
          <w:p w:rsidR="00D2400B" w:rsidRPr="00032A18" w:rsidRDefault="00D2400B" w:rsidP="00BE7EB4">
            <w:pPr>
              <w:rPr>
                <w:color w:val="000000"/>
                <w:highlight w:val="yellow"/>
              </w:rPr>
            </w:pPr>
            <w:r w:rsidRPr="00BE7EB4">
              <w:rPr>
                <w:color w:val="000000"/>
              </w:rPr>
              <w:t>Practising lawyer and member of the Law Society of NSW. Knowledge of charity and not-for-profit law. Bringing a blindness perspective to the Board.</w:t>
            </w:r>
          </w:p>
        </w:tc>
        <w:tc>
          <w:tcPr>
            <w:tcW w:w="1937" w:type="dxa"/>
          </w:tcPr>
          <w:p w:rsidR="00D2400B" w:rsidRPr="00E97CF8" w:rsidRDefault="00D2400B" w:rsidP="00BE7EB4"/>
        </w:tc>
      </w:tr>
    </w:tbl>
    <w:p w:rsidR="00D2400B" w:rsidRPr="00BE7EB4" w:rsidRDefault="00D2400B" w:rsidP="00BE7EB4">
      <w:pPr>
        <w:spacing w:before="360"/>
        <w:rPr>
          <w:b/>
        </w:rPr>
      </w:pPr>
      <w:r w:rsidRPr="00BE7EB4">
        <w:rPr>
          <w:b/>
        </w:rPr>
        <w:t>Meetings of Directors</w:t>
      </w:r>
    </w:p>
    <w:p w:rsidR="00D2400B" w:rsidRPr="00BF6777" w:rsidRDefault="00D2400B" w:rsidP="00BE7EB4">
      <w:r w:rsidRPr="00BF6777">
        <w:t>During the financial year, 7 meetings of the directors were held.</w:t>
      </w:r>
      <w:r w:rsidR="00BE7EB4">
        <w:t xml:space="preserve"> </w:t>
      </w:r>
      <w:r w:rsidRPr="00BF6777">
        <w:t xml:space="preserve">Attendees by each director were as follows: </w:t>
      </w:r>
    </w:p>
    <w:tbl>
      <w:tblPr>
        <w:tblStyle w:val="TableGrid2"/>
        <w:tblW w:w="0" w:type="auto"/>
        <w:tblLook w:val="04A0" w:firstRow="1" w:lastRow="0" w:firstColumn="1" w:lastColumn="0" w:noHBand="0" w:noVBand="1"/>
        <w:tblDescription w:val="directors' attendance at board meetings"/>
      </w:tblPr>
      <w:tblGrid>
        <w:gridCol w:w="3080"/>
        <w:gridCol w:w="3080"/>
        <w:gridCol w:w="3080"/>
      </w:tblGrid>
      <w:tr w:rsidR="00D2400B" w:rsidRPr="00BE7EB4" w:rsidTr="0049007C">
        <w:trPr>
          <w:cantSplit/>
          <w:tblHeader/>
        </w:trPr>
        <w:tc>
          <w:tcPr>
            <w:tcW w:w="3080" w:type="dxa"/>
          </w:tcPr>
          <w:p w:rsidR="00D2400B" w:rsidRPr="00BE7EB4" w:rsidRDefault="00D2400B" w:rsidP="00BE7EB4">
            <w:pPr>
              <w:rPr>
                <w:rStyle w:val="Strong"/>
                <w:rFonts w:cstheme="minorHAnsi"/>
              </w:rPr>
            </w:pPr>
            <w:r w:rsidRPr="00BE7EB4">
              <w:rPr>
                <w:rStyle w:val="Strong"/>
                <w:rFonts w:cstheme="minorHAnsi"/>
              </w:rPr>
              <w:t>Director</w:t>
            </w:r>
          </w:p>
        </w:tc>
        <w:tc>
          <w:tcPr>
            <w:tcW w:w="3080" w:type="dxa"/>
          </w:tcPr>
          <w:p w:rsidR="00D2400B" w:rsidRPr="00BE7EB4" w:rsidRDefault="00D2400B" w:rsidP="00BE7EB4">
            <w:pPr>
              <w:rPr>
                <w:rStyle w:val="Strong"/>
                <w:rFonts w:cstheme="minorHAnsi"/>
              </w:rPr>
            </w:pPr>
            <w:r w:rsidRPr="00BE7EB4">
              <w:rPr>
                <w:rStyle w:val="Strong"/>
                <w:rFonts w:cstheme="minorHAnsi"/>
              </w:rPr>
              <w:t>Number eligible to attend</w:t>
            </w:r>
          </w:p>
        </w:tc>
        <w:tc>
          <w:tcPr>
            <w:tcW w:w="3080" w:type="dxa"/>
          </w:tcPr>
          <w:p w:rsidR="00D2400B" w:rsidRPr="00BE7EB4" w:rsidRDefault="00D2400B" w:rsidP="00BE7EB4">
            <w:pPr>
              <w:rPr>
                <w:rStyle w:val="Strong"/>
                <w:rFonts w:cstheme="minorHAnsi"/>
              </w:rPr>
            </w:pPr>
            <w:r w:rsidRPr="00BE7EB4">
              <w:rPr>
                <w:rStyle w:val="Strong"/>
                <w:rFonts w:cstheme="minorHAnsi"/>
              </w:rPr>
              <w:t>Number attended</w:t>
            </w:r>
          </w:p>
        </w:tc>
      </w:tr>
      <w:tr w:rsidR="00D2400B" w:rsidRPr="00BF6777" w:rsidTr="00BE7EB4">
        <w:trPr>
          <w:cantSplit/>
        </w:trPr>
        <w:tc>
          <w:tcPr>
            <w:tcW w:w="3080" w:type="dxa"/>
          </w:tcPr>
          <w:p w:rsidR="00D2400B" w:rsidRPr="00BF6777" w:rsidRDefault="00D2400B" w:rsidP="00BE7EB4">
            <w:r w:rsidRPr="00BF6777">
              <w:t xml:space="preserve">Victoria Mary </w:t>
            </w:r>
            <w:proofErr w:type="spellStart"/>
            <w:r w:rsidRPr="00BF6777">
              <w:t>Rubensohn</w:t>
            </w:r>
            <w:proofErr w:type="spellEnd"/>
          </w:p>
        </w:tc>
        <w:tc>
          <w:tcPr>
            <w:tcW w:w="3080" w:type="dxa"/>
          </w:tcPr>
          <w:p w:rsidR="00D2400B" w:rsidRPr="00BF6777" w:rsidRDefault="00D2400B" w:rsidP="00BE7EB4">
            <w:r w:rsidRPr="00BF6777">
              <w:t>7</w:t>
            </w:r>
          </w:p>
        </w:tc>
        <w:tc>
          <w:tcPr>
            <w:tcW w:w="3080" w:type="dxa"/>
          </w:tcPr>
          <w:p w:rsidR="00D2400B" w:rsidRPr="00BF6777" w:rsidRDefault="00D2400B" w:rsidP="00BE7EB4">
            <w:r w:rsidRPr="00BF6777">
              <w:t>6</w:t>
            </w:r>
          </w:p>
        </w:tc>
      </w:tr>
      <w:tr w:rsidR="00D2400B" w:rsidRPr="00BF6777" w:rsidTr="00BE7EB4">
        <w:trPr>
          <w:cantSplit/>
        </w:trPr>
        <w:tc>
          <w:tcPr>
            <w:tcW w:w="3080" w:type="dxa"/>
          </w:tcPr>
          <w:p w:rsidR="00D2400B" w:rsidRPr="00BF6777" w:rsidRDefault="00D2400B" w:rsidP="00BE7EB4">
            <w:r w:rsidRPr="00BF6777">
              <w:t>Ian Roache</w:t>
            </w:r>
          </w:p>
        </w:tc>
        <w:tc>
          <w:tcPr>
            <w:tcW w:w="3080" w:type="dxa"/>
          </w:tcPr>
          <w:p w:rsidR="00D2400B" w:rsidRPr="00BF6777" w:rsidRDefault="00D2400B" w:rsidP="00BE7EB4">
            <w:r w:rsidRPr="00BF6777">
              <w:t>7</w:t>
            </w:r>
          </w:p>
        </w:tc>
        <w:tc>
          <w:tcPr>
            <w:tcW w:w="3080" w:type="dxa"/>
          </w:tcPr>
          <w:p w:rsidR="00D2400B" w:rsidRPr="00BF6777" w:rsidRDefault="00D2400B" w:rsidP="00BE7EB4">
            <w:r>
              <w:t>7</w:t>
            </w:r>
          </w:p>
        </w:tc>
      </w:tr>
      <w:tr w:rsidR="00D2400B" w:rsidRPr="00BF6777" w:rsidTr="00BE7EB4">
        <w:trPr>
          <w:cantSplit/>
        </w:trPr>
        <w:tc>
          <w:tcPr>
            <w:tcW w:w="3080" w:type="dxa"/>
          </w:tcPr>
          <w:p w:rsidR="00D2400B" w:rsidRPr="00BF6777" w:rsidRDefault="00D2400B" w:rsidP="00BE7EB4">
            <w:r w:rsidRPr="00BF6777">
              <w:t xml:space="preserve">John </w:t>
            </w:r>
            <w:proofErr w:type="spellStart"/>
            <w:r w:rsidRPr="00BF6777">
              <w:t>Losco</w:t>
            </w:r>
            <w:proofErr w:type="spellEnd"/>
          </w:p>
        </w:tc>
        <w:tc>
          <w:tcPr>
            <w:tcW w:w="3080" w:type="dxa"/>
          </w:tcPr>
          <w:p w:rsidR="00D2400B" w:rsidRPr="00BF6777" w:rsidRDefault="00D2400B" w:rsidP="00BE7EB4">
            <w:r w:rsidRPr="00BF6777">
              <w:t>7</w:t>
            </w:r>
          </w:p>
        </w:tc>
        <w:tc>
          <w:tcPr>
            <w:tcW w:w="3080" w:type="dxa"/>
          </w:tcPr>
          <w:p w:rsidR="00D2400B" w:rsidRPr="00BF6777" w:rsidRDefault="00D2400B" w:rsidP="00BE7EB4">
            <w:r>
              <w:t>6</w:t>
            </w:r>
          </w:p>
        </w:tc>
      </w:tr>
      <w:tr w:rsidR="00D2400B" w:rsidRPr="00BF6777" w:rsidTr="00BE7EB4">
        <w:trPr>
          <w:cantSplit/>
        </w:trPr>
        <w:tc>
          <w:tcPr>
            <w:tcW w:w="3080" w:type="dxa"/>
          </w:tcPr>
          <w:p w:rsidR="00D2400B" w:rsidRPr="00BF6777" w:rsidRDefault="00D2400B" w:rsidP="00BE7EB4">
            <w:r w:rsidRPr="00BF6777">
              <w:t>Helen Crossing</w:t>
            </w:r>
          </w:p>
        </w:tc>
        <w:tc>
          <w:tcPr>
            <w:tcW w:w="3080" w:type="dxa"/>
          </w:tcPr>
          <w:p w:rsidR="00D2400B" w:rsidRPr="00BF6777" w:rsidRDefault="00D2400B" w:rsidP="00BE7EB4">
            <w:r w:rsidRPr="00BF6777">
              <w:t>7</w:t>
            </w:r>
          </w:p>
        </w:tc>
        <w:tc>
          <w:tcPr>
            <w:tcW w:w="3080" w:type="dxa"/>
          </w:tcPr>
          <w:p w:rsidR="00D2400B" w:rsidRPr="00BF6777" w:rsidRDefault="00D2400B" w:rsidP="00BE7EB4">
            <w:r>
              <w:t>7</w:t>
            </w:r>
          </w:p>
        </w:tc>
      </w:tr>
      <w:tr w:rsidR="00D2400B" w:rsidRPr="00767C7D" w:rsidTr="00BE7EB4">
        <w:trPr>
          <w:cantSplit/>
        </w:trPr>
        <w:tc>
          <w:tcPr>
            <w:tcW w:w="3080" w:type="dxa"/>
          </w:tcPr>
          <w:p w:rsidR="00D2400B" w:rsidRPr="00BF6777" w:rsidRDefault="00D2400B" w:rsidP="00BE7EB4">
            <w:r w:rsidRPr="00BF6777">
              <w:t>Stephen Harry Wall</w:t>
            </w:r>
          </w:p>
        </w:tc>
        <w:tc>
          <w:tcPr>
            <w:tcW w:w="3080" w:type="dxa"/>
          </w:tcPr>
          <w:p w:rsidR="00D2400B" w:rsidRPr="00BF6777" w:rsidRDefault="00D2400B" w:rsidP="00BE7EB4">
            <w:r w:rsidRPr="00BF6777">
              <w:t>7</w:t>
            </w:r>
          </w:p>
        </w:tc>
        <w:tc>
          <w:tcPr>
            <w:tcW w:w="3080" w:type="dxa"/>
          </w:tcPr>
          <w:p w:rsidR="00D2400B" w:rsidRPr="00BF6777" w:rsidRDefault="00D2400B" w:rsidP="00BE7EB4">
            <w:r w:rsidRPr="00BF6777">
              <w:t>4</w:t>
            </w:r>
          </w:p>
        </w:tc>
      </w:tr>
      <w:tr w:rsidR="00D2400B" w:rsidRPr="00767C7D" w:rsidTr="00BE7EB4">
        <w:trPr>
          <w:cantSplit/>
        </w:trPr>
        <w:tc>
          <w:tcPr>
            <w:tcW w:w="3080" w:type="dxa"/>
          </w:tcPr>
          <w:p w:rsidR="00D2400B" w:rsidRPr="00BF6777" w:rsidRDefault="00D2400B" w:rsidP="00BE7EB4">
            <w:r>
              <w:t>Darren David Fittler</w:t>
            </w:r>
          </w:p>
        </w:tc>
        <w:tc>
          <w:tcPr>
            <w:tcW w:w="3080" w:type="dxa"/>
          </w:tcPr>
          <w:p w:rsidR="00D2400B" w:rsidRPr="00BF6777" w:rsidRDefault="00D2400B" w:rsidP="00BE7EB4">
            <w:r>
              <w:t>6</w:t>
            </w:r>
          </w:p>
        </w:tc>
        <w:tc>
          <w:tcPr>
            <w:tcW w:w="3080" w:type="dxa"/>
          </w:tcPr>
          <w:p w:rsidR="00D2400B" w:rsidRPr="00BF6777" w:rsidRDefault="00D2400B" w:rsidP="00BE7EB4">
            <w:r>
              <w:t>6</w:t>
            </w:r>
          </w:p>
        </w:tc>
      </w:tr>
    </w:tbl>
    <w:p w:rsidR="00D2400B" w:rsidRPr="00BF6777" w:rsidRDefault="00D2400B" w:rsidP="00BE7EB4">
      <w:pPr>
        <w:spacing w:before="360"/>
        <w:rPr>
          <w:sz w:val="24"/>
          <w:szCs w:val="24"/>
        </w:rPr>
      </w:pPr>
      <w:r w:rsidRPr="00BF6777">
        <w:rPr>
          <w:b/>
          <w:bCs/>
          <w:color w:val="000000"/>
        </w:rPr>
        <w:t>Changes in state of affairs</w:t>
      </w:r>
    </w:p>
    <w:p w:rsidR="00D2400B" w:rsidRPr="00BF6777" w:rsidRDefault="00D2400B" w:rsidP="00BE7EB4">
      <w:pPr>
        <w:rPr>
          <w:bCs/>
          <w:color w:val="000000"/>
        </w:rPr>
      </w:pPr>
      <w:r w:rsidRPr="00BF6777">
        <w:rPr>
          <w:bCs/>
          <w:color w:val="000000"/>
        </w:rPr>
        <w:t>There was no significant change in the state of affairs of the entity during the financial year.</w:t>
      </w:r>
    </w:p>
    <w:p w:rsidR="00D2400B" w:rsidRPr="00BF6777" w:rsidRDefault="00D2400B" w:rsidP="00BE7EB4">
      <w:pPr>
        <w:rPr>
          <w:b/>
          <w:bCs/>
          <w:color w:val="000000"/>
        </w:rPr>
      </w:pPr>
      <w:r w:rsidRPr="00BF6777">
        <w:rPr>
          <w:b/>
          <w:bCs/>
          <w:color w:val="000000"/>
        </w:rPr>
        <w:t>Subsequent events</w:t>
      </w:r>
    </w:p>
    <w:p w:rsidR="00D2400B" w:rsidRPr="00BF6777" w:rsidRDefault="00D2400B" w:rsidP="00BE7EB4">
      <w:r w:rsidRPr="00BF6777">
        <w:t>No matters or circumstances have arisen since the end of the financial year which significantly affected or may significantly affect the operations of the economic entity, the results of those operations, or the state of affairs of the economic entity in future financial years.</w:t>
      </w:r>
    </w:p>
    <w:p w:rsidR="004B6628" w:rsidRDefault="004B6628">
      <w:pPr>
        <w:spacing w:after="200"/>
      </w:pPr>
      <w:r>
        <w:br w:type="page"/>
      </w:r>
    </w:p>
    <w:p w:rsidR="00ED4ED0" w:rsidRPr="004B6628" w:rsidRDefault="00B26290" w:rsidP="004B6628">
      <w:r>
        <w:rPr>
          <w:sz w:val="48"/>
        </w:rPr>
        <w:lastRenderedPageBreak/>
        <w:t>Directors Report (continue</w:t>
      </w:r>
      <w:r w:rsidR="00ED4ED0" w:rsidRPr="00ED4ED0">
        <w:rPr>
          <w:sz w:val="48"/>
        </w:rPr>
        <w:t>d)</w:t>
      </w:r>
    </w:p>
    <w:p w:rsidR="00ED4ED0" w:rsidRPr="00ED4ED0" w:rsidRDefault="00ED4ED0" w:rsidP="00ED4ED0">
      <w:pPr>
        <w:rPr>
          <w:rStyle w:val="Strong"/>
        </w:rPr>
      </w:pPr>
      <w:r w:rsidRPr="00ED4ED0">
        <w:rPr>
          <w:rStyle w:val="Strong"/>
        </w:rPr>
        <w:t>For the yea</w:t>
      </w:r>
      <w:r w:rsidR="007E4389">
        <w:rPr>
          <w:rStyle w:val="Strong"/>
        </w:rPr>
        <w:t>r</w:t>
      </w:r>
      <w:r w:rsidRPr="00ED4ED0">
        <w:rPr>
          <w:rStyle w:val="Strong"/>
        </w:rPr>
        <w:t xml:space="preserve"> ended 30 June 2013</w:t>
      </w:r>
    </w:p>
    <w:p w:rsidR="00515B5E" w:rsidRPr="00BF6777" w:rsidRDefault="00515B5E" w:rsidP="00515B5E">
      <w:pPr>
        <w:spacing w:before="360"/>
        <w:rPr>
          <w:b/>
        </w:rPr>
      </w:pPr>
      <w:r w:rsidRPr="00BF6777">
        <w:rPr>
          <w:b/>
        </w:rPr>
        <w:t>Environmental regulations</w:t>
      </w:r>
    </w:p>
    <w:p w:rsidR="00515B5E" w:rsidRDefault="00515B5E" w:rsidP="00515B5E">
      <w:r w:rsidRPr="00BF6777">
        <w:t>The economic entity’s operations are not regulated by any significant environmental regulation under a law of the Commonwea</w:t>
      </w:r>
      <w:r>
        <w:t>lth or of a state or territory.</w:t>
      </w:r>
    </w:p>
    <w:p w:rsidR="00D2400B" w:rsidRPr="00BE7EB4" w:rsidRDefault="00D2400B" w:rsidP="00BE7EB4">
      <w:pPr>
        <w:rPr>
          <w:b/>
        </w:rPr>
      </w:pPr>
      <w:r w:rsidRPr="00BE7EB4">
        <w:rPr>
          <w:b/>
        </w:rPr>
        <w:t>Indemnification of officers and auditors</w:t>
      </w:r>
    </w:p>
    <w:p w:rsidR="00D2400B" w:rsidRPr="00BF6777" w:rsidRDefault="00D2400B" w:rsidP="00BE7EB4">
      <w:r w:rsidRPr="00BF6777">
        <w:t>During or since the financial year, the company has paid premiums in respect of a contract insuring all the directors of Media Access Australia against legal costs incurred in defending proceedings for conduct other than:</w:t>
      </w:r>
    </w:p>
    <w:p w:rsidR="00D2400B" w:rsidRPr="00BF6777" w:rsidRDefault="00D2400B" w:rsidP="00BE7EB4">
      <w:pPr>
        <w:pStyle w:val="ListParagraph"/>
        <w:numPr>
          <w:ilvl w:val="0"/>
          <w:numId w:val="8"/>
        </w:numPr>
        <w:ind w:left="714" w:hanging="357"/>
        <w:contextualSpacing w:val="0"/>
      </w:pPr>
      <w:r w:rsidRPr="00BF6777">
        <w:t>A wilful breach of duty.</w:t>
      </w:r>
    </w:p>
    <w:p w:rsidR="00D2400B" w:rsidRPr="00BF6777" w:rsidRDefault="00D2400B" w:rsidP="00BE7EB4">
      <w:pPr>
        <w:pStyle w:val="ListParagraph"/>
        <w:numPr>
          <w:ilvl w:val="0"/>
          <w:numId w:val="8"/>
        </w:numPr>
        <w:ind w:left="714" w:hanging="357"/>
        <w:contextualSpacing w:val="0"/>
      </w:pPr>
      <w:r w:rsidRPr="00BF6777">
        <w:t xml:space="preserve">A contravention of sections 182 or 183 of the </w:t>
      </w:r>
      <w:r w:rsidRPr="00BE7EB4">
        <w:rPr>
          <w:i/>
          <w:iCs/>
        </w:rPr>
        <w:t>Corporations Act 2001</w:t>
      </w:r>
      <w:r w:rsidRPr="00BF6777">
        <w:t xml:space="preserve">, as permitted by section 199B of the </w:t>
      </w:r>
      <w:r w:rsidRPr="00BE7EB4">
        <w:rPr>
          <w:i/>
          <w:iCs/>
        </w:rPr>
        <w:t>Corporations Act 2001</w:t>
      </w:r>
    </w:p>
    <w:p w:rsidR="00D2400B" w:rsidRDefault="00D2400B" w:rsidP="00515B5E">
      <w:pPr>
        <w:spacing w:before="240"/>
      </w:pPr>
      <w:r w:rsidRPr="00BF6777">
        <w:t>The total amount of insurance c</w:t>
      </w:r>
      <w:r>
        <w:t>ontract premiums paid was $7,367.91</w:t>
      </w:r>
      <w:r w:rsidRPr="00BF6777">
        <w:t>.</w:t>
      </w:r>
    </w:p>
    <w:p w:rsidR="00D2400B" w:rsidRPr="00ED4ED0" w:rsidRDefault="00D2400B" w:rsidP="00ED4ED0">
      <w:pPr>
        <w:rPr>
          <w:b/>
        </w:rPr>
      </w:pPr>
      <w:r w:rsidRPr="00ED4ED0">
        <w:rPr>
          <w:b/>
        </w:rPr>
        <w:t>Proceedings on behalf of the company</w:t>
      </w:r>
    </w:p>
    <w:p w:rsidR="00D2400B" w:rsidRPr="00EB4386" w:rsidRDefault="00D2400B" w:rsidP="00ED4ED0">
      <w:r w:rsidRPr="00EB4386">
        <w:t>No person has applied for leave of Court to bring proceedings on behalf of the company or intervene in any proceedings to which the company is a party for the purpose of taking responsibility on behalf of the company for all or any part of those proceedings.</w:t>
      </w:r>
    </w:p>
    <w:p w:rsidR="00D2400B" w:rsidRPr="00ED4ED0" w:rsidRDefault="00D2400B" w:rsidP="00ED4ED0">
      <w:pPr>
        <w:rPr>
          <w:b/>
        </w:rPr>
      </w:pPr>
      <w:r w:rsidRPr="00ED4ED0">
        <w:rPr>
          <w:b/>
        </w:rPr>
        <w:t>Dividends</w:t>
      </w:r>
    </w:p>
    <w:p w:rsidR="00D2400B" w:rsidRPr="00EB4386" w:rsidRDefault="00D2400B" w:rsidP="00ED4ED0">
      <w:r w:rsidRPr="00EB4386">
        <w:t>No dividends were paid or declared since the start of the current financial year.</w:t>
      </w:r>
    </w:p>
    <w:p w:rsidR="00D2400B" w:rsidRPr="00ED4ED0" w:rsidRDefault="00D2400B" w:rsidP="00ED4ED0">
      <w:pPr>
        <w:rPr>
          <w:b/>
        </w:rPr>
      </w:pPr>
      <w:r w:rsidRPr="00ED4ED0">
        <w:rPr>
          <w:b/>
        </w:rPr>
        <w:t>Auditor’s Independence declaration</w:t>
      </w:r>
    </w:p>
    <w:p w:rsidR="00D2400B" w:rsidRDefault="00D2400B" w:rsidP="00ED4ED0">
      <w:r w:rsidRPr="00EB4386">
        <w:t xml:space="preserve">The auditor’s independence declaration is included on page </w:t>
      </w:r>
      <w:r w:rsidR="00D64643">
        <w:t>3</w:t>
      </w:r>
      <w:r w:rsidR="00153097">
        <w:t>3</w:t>
      </w:r>
      <w:r w:rsidRPr="00EB4386">
        <w:t xml:space="preserve"> of the annual report.</w:t>
      </w:r>
    </w:p>
    <w:p w:rsidR="00D2400B" w:rsidRPr="00EB4386" w:rsidRDefault="00D2400B" w:rsidP="00ED4ED0">
      <w:pPr>
        <w:spacing w:after="840"/>
      </w:pPr>
      <w:r w:rsidRPr="00EB4386">
        <w:t>On behalf of the Directors</w:t>
      </w:r>
    </w:p>
    <w:p w:rsidR="009868C6" w:rsidRPr="009868C6" w:rsidRDefault="009868C6" w:rsidP="00ED4ED0">
      <w:r w:rsidRPr="009868C6">
        <w:t>Stephen H Wall</w:t>
      </w:r>
    </w:p>
    <w:p w:rsidR="00D2400B" w:rsidRPr="00ED4ED0" w:rsidRDefault="00ED4ED0" w:rsidP="00ED4ED0">
      <w:pPr>
        <w:rPr>
          <w:b/>
        </w:rPr>
      </w:pPr>
      <w:r>
        <w:rPr>
          <w:b/>
        </w:rPr>
        <w:t>DIRECTOR</w:t>
      </w:r>
    </w:p>
    <w:p w:rsidR="000C5471" w:rsidRDefault="00D2400B" w:rsidP="00ED4ED0">
      <w:pPr>
        <w:tabs>
          <w:tab w:val="left" w:pos="2268"/>
          <w:tab w:val="left" w:pos="4536"/>
        </w:tabs>
      </w:pPr>
      <w:r w:rsidRPr="00EB4386">
        <w:t>Dated this</w:t>
      </w:r>
      <w:r w:rsidR="009868C6">
        <w:t xml:space="preserve"> 29</w:t>
      </w:r>
      <w:r w:rsidR="009868C6" w:rsidRPr="009868C6">
        <w:rPr>
          <w:vertAlign w:val="superscript"/>
        </w:rPr>
        <w:t>th</w:t>
      </w:r>
      <w:r w:rsidR="009868C6">
        <w:t xml:space="preserve"> </w:t>
      </w:r>
      <w:r w:rsidRPr="00EB4386">
        <w:t>day of</w:t>
      </w:r>
      <w:r w:rsidR="009868C6">
        <w:t xml:space="preserve"> October</w:t>
      </w:r>
      <w:r w:rsidR="00ED4ED0">
        <w:t xml:space="preserve"> </w:t>
      </w:r>
      <w:r w:rsidRPr="00EB4386">
        <w:t>2013</w:t>
      </w:r>
    </w:p>
    <w:p w:rsidR="000C5471" w:rsidRDefault="000C5471">
      <w:pPr>
        <w:spacing w:after="200"/>
      </w:pPr>
      <w:r>
        <w:br w:type="page"/>
      </w:r>
    </w:p>
    <w:p w:rsidR="00D2400B" w:rsidRPr="003226E6" w:rsidRDefault="00D2400B" w:rsidP="000C5471">
      <w:pPr>
        <w:pStyle w:val="Heading1"/>
        <w:rPr>
          <w:sz w:val="24"/>
          <w:szCs w:val="24"/>
        </w:rPr>
      </w:pPr>
      <w:bookmarkStart w:id="4" w:name="_Toc370126165"/>
      <w:r w:rsidRPr="003226E6">
        <w:lastRenderedPageBreak/>
        <w:t>Balance Sheet</w:t>
      </w:r>
      <w:bookmarkEnd w:id="4"/>
    </w:p>
    <w:p w:rsidR="00D2400B" w:rsidRPr="00ED4ED0" w:rsidRDefault="00D2400B" w:rsidP="000C5471">
      <w:pPr>
        <w:rPr>
          <w:b/>
          <w:sz w:val="24"/>
          <w:szCs w:val="24"/>
        </w:rPr>
      </w:pPr>
      <w:r w:rsidRPr="00ED4ED0">
        <w:rPr>
          <w:b/>
        </w:rPr>
        <w:t>For the Year ended 30 June 2013</w:t>
      </w:r>
    </w:p>
    <w:tbl>
      <w:tblPr>
        <w:tblStyle w:val="TableGrid"/>
        <w:tblW w:w="91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Balance sheet"/>
      </w:tblPr>
      <w:tblGrid>
        <w:gridCol w:w="3712"/>
        <w:gridCol w:w="1627"/>
        <w:gridCol w:w="2071"/>
        <w:gridCol w:w="1775"/>
      </w:tblGrid>
      <w:tr w:rsidR="00D2400B" w:rsidRPr="00985BEA" w:rsidTr="000234B1">
        <w:trPr>
          <w:cnfStyle w:val="100000000000" w:firstRow="1" w:lastRow="0" w:firstColumn="0" w:lastColumn="0" w:oddVBand="0" w:evenVBand="0" w:oddHBand="0" w:evenHBand="0" w:firstRowFirstColumn="0" w:firstRowLastColumn="0" w:lastRowFirstColumn="0" w:lastRowLastColumn="0"/>
          <w:cantSplit/>
          <w:tblHeader/>
          <w:jc w:val="center"/>
        </w:trPr>
        <w:tc>
          <w:tcPr>
            <w:tcW w:w="3557" w:type="dxa"/>
          </w:tcPr>
          <w:p w:rsidR="00D2400B" w:rsidRPr="00985BEA" w:rsidRDefault="00ED4ED0" w:rsidP="003206AB">
            <w:pPr>
              <w:spacing w:beforeLines="40" w:before="96" w:after="0"/>
            </w:pPr>
            <w:r>
              <w:t>Item</w:t>
            </w:r>
          </w:p>
        </w:tc>
        <w:tc>
          <w:tcPr>
            <w:tcW w:w="1559" w:type="dxa"/>
          </w:tcPr>
          <w:p w:rsidR="00D2400B" w:rsidRPr="00985BEA" w:rsidRDefault="00D2400B" w:rsidP="003206AB">
            <w:pPr>
              <w:spacing w:beforeLines="40" w:before="96" w:after="0"/>
              <w:jc w:val="center"/>
            </w:pPr>
            <w:r w:rsidRPr="00985BEA">
              <w:rPr>
                <w:color w:val="000000"/>
              </w:rPr>
              <w:t>Note</w:t>
            </w:r>
          </w:p>
        </w:tc>
        <w:tc>
          <w:tcPr>
            <w:tcW w:w="1985" w:type="dxa"/>
          </w:tcPr>
          <w:p w:rsidR="00D2400B" w:rsidRPr="00985BEA" w:rsidRDefault="00D2400B" w:rsidP="003206AB">
            <w:pPr>
              <w:spacing w:beforeLines="40" w:before="96" w:after="0"/>
              <w:jc w:val="right"/>
            </w:pPr>
            <w:r>
              <w:rPr>
                <w:color w:val="000000"/>
              </w:rPr>
              <w:t>2013</w:t>
            </w:r>
            <w:r w:rsidR="00ED4ED0">
              <w:rPr>
                <w:color w:val="000000"/>
              </w:rPr>
              <w:br/>
              <w:t>$</w:t>
            </w:r>
          </w:p>
        </w:tc>
        <w:tc>
          <w:tcPr>
            <w:tcW w:w="1701" w:type="dxa"/>
          </w:tcPr>
          <w:p w:rsidR="00D2400B" w:rsidRPr="00985BEA" w:rsidRDefault="00D2400B" w:rsidP="003206AB">
            <w:pPr>
              <w:spacing w:beforeLines="40" w:before="96" w:after="0"/>
              <w:jc w:val="right"/>
            </w:pPr>
            <w:r>
              <w:rPr>
                <w:color w:val="000000"/>
              </w:rPr>
              <w:t>2012</w:t>
            </w:r>
            <w:r w:rsidR="00ED4ED0">
              <w:rPr>
                <w:color w:val="000000"/>
              </w:rPr>
              <w:br/>
              <w:t>$</w:t>
            </w:r>
          </w:p>
        </w:tc>
      </w:tr>
      <w:tr w:rsidR="00D2400B" w:rsidRPr="004809AF" w:rsidTr="000234B1">
        <w:trPr>
          <w:cantSplit/>
          <w:jc w:val="center"/>
        </w:trPr>
        <w:tc>
          <w:tcPr>
            <w:tcW w:w="3557" w:type="dxa"/>
          </w:tcPr>
          <w:p w:rsidR="00D2400B" w:rsidRPr="0044141E" w:rsidRDefault="00D2400B" w:rsidP="003206AB">
            <w:pPr>
              <w:spacing w:beforeLines="40" w:before="96" w:after="0"/>
              <w:rPr>
                <w:b/>
              </w:rPr>
            </w:pPr>
            <w:r w:rsidRPr="0044141E">
              <w:rPr>
                <w:b/>
                <w:bCs/>
                <w:color w:val="000000"/>
              </w:rPr>
              <w:t>Current Assets</w:t>
            </w:r>
          </w:p>
        </w:tc>
        <w:tc>
          <w:tcPr>
            <w:tcW w:w="1559" w:type="dxa"/>
          </w:tcPr>
          <w:p w:rsidR="00D2400B" w:rsidRPr="004809AF" w:rsidRDefault="00D2400B" w:rsidP="003206AB">
            <w:pPr>
              <w:spacing w:beforeLines="40" w:before="96" w:after="0"/>
              <w:jc w:val="center"/>
            </w:pPr>
          </w:p>
        </w:tc>
        <w:tc>
          <w:tcPr>
            <w:tcW w:w="1985" w:type="dxa"/>
          </w:tcPr>
          <w:p w:rsidR="00D2400B" w:rsidRPr="004809AF" w:rsidRDefault="00D2400B" w:rsidP="003206AB">
            <w:pPr>
              <w:spacing w:beforeLines="40" w:before="96" w:after="0"/>
              <w:jc w:val="right"/>
            </w:pPr>
          </w:p>
        </w:tc>
        <w:tc>
          <w:tcPr>
            <w:tcW w:w="1701" w:type="dxa"/>
          </w:tcPr>
          <w:p w:rsidR="00D2400B" w:rsidRPr="004809AF" w:rsidRDefault="00D2400B" w:rsidP="003206AB">
            <w:pPr>
              <w:spacing w:beforeLines="40" w:before="96" w:after="0"/>
              <w:jc w:val="right"/>
            </w:pPr>
          </w:p>
        </w:tc>
      </w:tr>
      <w:tr w:rsidR="00D2400B" w:rsidRPr="004809AF" w:rsidTr="000234B1">
        <w:trPr>
          <w:cantSplit/>
          <w:jc w:val="center"/>
        </w:trPr>
        <w:tc>
          <w:tcPr>
            <w:tcW w:w="3557" w:type="dxa"/>
          </w:tcPr>
          <w:p w:rsidR="00D2400B" w:rsidRPr="004809AF" w:rsidRDefault="00D2400B" w:rsidP="003206AB">
            <w:pPr>
              <w:spacing w:beforeLines="40" w:before="96" w:after="0"/>
            </w:pPr>
            <w:r w:rsidRPr="004809AF">
              <w:rPr>
                <w:color w:val="000000"/>
              </w:rPr>
              <w:t>Cash and Cash Equivalents</w:t>
            </w:r>
          </w:p>
        </w:tc>
        <w:tc>
          <w:tcPr>
            <w:tcW w:w="1559" w:type="dxa"/>
          </w:tcPr>
          <w:p w:rsidR="00D2400B" w:rsidRPr="004809AF" w:rsidRDefault="00D2400B" w:rsidP="003206AB">
            <w:pPr>
              <w:spacing w:beforeLines="40" w:before="96" w:after="0"/>
              <w:jc w:val="center"/>
            </w:pPr>
            <w:r w:rsidRPr="004809AF">
              <w:t>6</w:t>
            </w:r>
          </w:p>
        </w:tc>
        <w:tc>
          <w:tcPr>
            <w:tcW w:w="1985" w:type="dxa"/>
          </w:tcPr>
          <w:p w:rsidR="00D2400B" w:rsidRPr="004809AF" w:rsidRDefault="00D2400B" w:rsidP="003206AB">
            <w:pPr>
              <w:spacing w:beforeLines="40" w:before="96" w:after="0"/>
              <w:jc w:val="right"/>
            </w:pPr>
            <w:r w:rsidRPr="004809AF">
              <w:rPr>
                <w:color w:val="000000"/>
              </w:rPr>
              <w:t>1,411,511</w:t>
            </w:r>
          </w:p>
        </w:tc>
        <w:tc>
          <w:tcPr>
            <w:tcW w:w="1701" w:type="dxa"/>
          </w:tcPr>
          <w:p w:rsidR="00D2400B" w:rsidRPr="004809AF" w:rsidRDefault="00D2400B" w:rsidP="003206AB">
            <w:pPr>
              <w:spacing w:beforeLines="40" w:before="96" w:after="0"/>
              <w:jc w:val="right"/>
            </w:pPr>
            <w:r w:rsidRPr="004809AF">
              <w:rPr>
                <w:color w:val="000000"/>
              </w:rPr>
              <w:t>2,426,112</w:t>
            </w:r>
          </w:p>
        </w:tc>
      </w:tr>
      <w:tr w:rsidR="00D2400B" w:rsidRPr="004809AF" w:rsidTr="000234B1">
        <w:trPr>
          <w:cantSplit/>
          <w:jc w:val="center"/>
        </w:trPr>
        <w:tc>
          <w:tcPr>
            <w:tcW w:w="3557" w:type="dxa"/>
          </w:tcPr>
          <w:p w:rsidR="00D2400B" w:rsidRPr="004809AF" w:rsidRDefault="00D2400B" w:rsidP="003206AB">
            <w:pPr>
              <w:spacing w:beforeLines="40" w:before="96" w:after="0"/>
            </w:pPr>
            <w:r w:rsidRPr="004809AF">
              <w:rPr>
                <w:color w:val="000000"/>
              </w:rPr>
              <w:t>Trade and Other Receivables</w:t>
            </w:r>
          </w:p>
        </w:tc>
        <w:tc>
          <w:tcPr>
            <w:tcW w:w="1559" w:type="dxa"/>
          </w:tcPr>
          <w:p w:rsidR="00D2400B" w:rsidRPr="004809AF" w:rsidRDefault="00D2400B" w:rsidP="003206AB">
            <w:pPr>
              <w:spacing w:beforeLines="40" w:before="96" w:after="0"/>
              <w:jc w:val="center"/>
            </w:pPr>
            <w:r w:rsidRPr="004809AF">
              <w:t>7</w:t>
            </w:r>
          </w:p>
        </w:tc>
        <w:tc>
          <w:tcPr>
            <w:tcW w:w="1985" w:type="dxa"/>
          </w:tcPr>
          <w:p w:rsidR="00D2400B" w:rsidRPr="004809AF" w:rsidRDefault="00D2400B" w:rsidP="003206AB">
            <w:pPr>
              <w:spacing w:beforeLines="40" w:before="96" w:after="0"/>
              <w:jc w:val="right"/>
            </w:pPr>
            <w:r w:rsidRPr="004809AF">
              <w:rPr>
                <w:color w:val="000000"/>
              </w:rPr>
              <w:t>101,334</w:t>
            </w:r>
          </w:p>
        </w:tc>
        <w:tc>
          <w:tcPr>
            <w:tcW w:w="1701" w:type="dxa"/>
          </w:tcPr>
          <w:p w:rsidR="00D2400B" w:rsidRPr="004809AF" w:rsidRDefault="00D2400B" w:rsidP="003206AB">
            <w:pPr>
              <w:spacing w:beforeLines="40" w:before="96" w:after="0"/>
              <w:jc w:val="right"/>
            </w:pPr>
            <w:r w:rsidRPr="004809AF">
              <w:rPr>
                <w:color w:val="000000"/>
              </w:rPr>
              <w:t>124,573</w:t>
            </w:r>
          </w:p>
        </w:tc>
      </w:tr>
      <w:tr w:rsidR="00D2400B" w:rsidRPr="004809AF" w:rsidTr="000234B1">
        <w:trPr>
          <w:cantSplit/>
          <w:jc w:val="center"/>
        </w:trPr>
        <w:tc>
          <w:tcPr>
            <w:tcW w:w="3557" w:type="dxa"/>
          </w:tcPr>
          <w:p w:rsidR="00D2400B" w:rsidRPr="004809AF" w:rsidRDefault="00D2400B" w:rsidP="003206AB">
            <w:pPr>
              <w:spacing w:beforeLines="40" w:before="96" w:after="0"/>
            </w:pPr>
            <w:r w:rsidRPr="004809AF">
              <w:rPr>
                <w:color w:val="000000"/>
              </w:rPr>
              <w:t>Financial Assets</w:t>
            </w:r>
          </w:p>
        </w:tc>
        <w:tc>
          <w:tcPr>
            <w:tcW w:w="1559" w:type="dxa"/>
          </w:tcPr>
          <w:p w:rsidR="00D2400B" w:rsidRPr="004809AF" w:rsidRDefault="00D2400B" w:rsidP="003206AB">
            <w:pPr>
              <w:spacing w:beforeLines="40" w:before="96" w:after="0"/>
              <w:jc w:val="center"/>
            </w:pPr>
            <w:r w:rsidRPr="004809AF">
              <w:rPr>
                <w:color w:val="000000"/>
              </w:rPr>
              <w:t>8</w:t>
            </w:r>
          </w:p>
        </w:tc>
        <w:tc>
          <w:tcPr>
            <w:tcW w:w="1985" w:type="dxa"/>
          </w:tcPr>
          <w:p w:rsidR="00D2400B" w:rsidRPr="004809AF" w:rsidRDefault="00D2400B" w:rsidP="003206AB">
            <w:pPr>
              <w:spacing w:beforeLines="40" w:before="96" w:after="0"/>
              <w:jc w:val="right"/>
            </w:pPr>
            <w:r w:rsidRPr="004809AF">
              <w:rPr>
                <w:color w:val="000000"/>
              </w:rPr>
              <w:t>6,175,522</w:t>
            </w:r>
          </w:p>
        </w:tc>
        <w:tc>
          <w:tcPr>
            <w:tcW w:w="1701" w:type="dxa"/>
          </w:tcPr>
          <w:p w:rsidR="00D2400B" w:rsidRPr="004809AF" w:rsidRDefault="00D2400B" w:rsidP="003206AB">
            <w:pPr>
              <w:spacing w:beforeLines="40" w:before="96" w:after="0"/>
              <w:jc w:val="right"/>
            </w:pPr>
            <w:r w:rsidRPr="004809AF">
              <w:rPr>
                <w:color w:val="000000"/>
              </w:rPr>
              <w:t>5,757,873</w:t>
            </w:r>
          </w:p>
        </w:tc>
      </w:tr>
      <w:tr w:rsidR="00D2400B" w:rsidRPr="004809AF" w:rsidTr="000234B1">
        <w:trPr>
          <w:cantSplit/>
          <w:jc w:val="center"/>
        </w:trPr>
        <w:tc>
          <w:tcPr>
            <w:tcW w:w="3557" w:type="dxa"/>
          </w:tcPr>
          <w:p w:rsidR="00D2400B" w:rsidRPr="004809AF" w:rsidRDefault="00D2400B" w:rsidP="003206AB">
            <w:pPr>
              <w:spacing w:beforeLines="40" w:before="96" w:after="0"/>
            </w:pPr>
            <w:r w:rsidRPr="004809AF">
              <w:rPr>
                <w:color w:val="000000"/>
              </w:rPr>
              <w:t>Other Current Assets</w:t>
            </w:r>
          </w:p>
        </w:tc>
        <w:tc>
          <w:tcPr>
            <w:tcW w:w="1559" w:type="dxa"/>
          </w:tcPr>
          <w:p w:rsidR="00D2400B" w:rsidRPr="004809AF" w:rsidRDefault="00D2400B" w:rsidP="003206AB">
            <w:pPr>
              <w:spacing w:beforeLines="40" w:before="96" w:after="0"/>
              <w:jc w:val="center"/>
              <w:rPr>
                <w:u w:val="single"/>
              </w:rPr>
            </w:pPr>
          </w:p>
        </w:tc>
        <w:tc>
          <w:tcPr>
            <w:tcW w:w="1985" w:type="dxa"/>
            <w:tcBorders>
              <w:bottom w:val="single" w:sz="4" w:space="0" w:color="auto"/>
            </w:tcBorders>
          </w:tcPr>
          <w:p w:rsidR="00D2400B" w:rsidRPr="004809AF" w:rsidRDefault="00D2400B" w:rsidP="003206AB">
            <w:pPr>
              <w:spacing w:beforeLines="40" w:before="96" w:after="0"/>
              <w:jc w:val="right"/>
              <w:rPr>
                <w:color w:val="000000"/>
              </w:rPr>
            </w:pPr>
            <w:r w:rsidRPr="004809AF">
              <w:rPr>
                <w:color w:val="000000"/>
              </w:rPr>
              <w:t>5,8</w:t>
            </w:r>
            <w:r>
              <w:rPr>
                <w:color w:val="000000"/>
              </w:rPr>
              <w:t>88</w:t>
            </w:r>
          </w:p>
        </w:tc>
        <w:tc>
          <w:tcPr>
            <w:tcW w:w="1701" w:type="dxa"/>
            <w:tcBorders>
              <w:bottom w:val="single" w:sz="4" w:space="0" w:color="auto"/>
            </w:tcBorders>
          </w:tcPr>
          <w:p w:rsidR="00D2400B" w:rsidRPr="004809AF" w:rsidRDefault="00D2400B" w:rsidP="003206AB">
            <w:pPr>
              <w:spacing w:beforeLines="40" w:before="96" w:after="0"/>
              <w:jc w:val="right"/>
              <w:rPr>
                <w:color w:val="000000"/>
              </w:rPr>
            </w:pPr>
            <w:r w:rsidRPr="004809AF">
              <w:rPr>
                <w:color w:val="000000"/>
              </w:rPr>
              <w:t>5,200</w:t>
            </w:r>
          </w:p>
        </w:tc>
      </w:tr>
      <w:tr w:rsidR="00D2400B" w:rsidRPr="004809AF" w:rsidTr="000234B1">
        <w:trPr>
          <w:cantSplit/>
          <w:jc w:val="center"/>
        </w:trPr>
        <w:tc>
          <w:tcPr>
            <w:tcW w:w="3557" w:type="dxa"/>
          </w:tcPr>
          <w:p w:rsidR="00D2400B" w:rsidRPr="0044141E" w:rsidRDefault="00D2400B" w:rsidP="003206AB">
            <w:pPr>
              <w:spacing w:beforeLines="40" w:before="96" w:after="0"/>
              <w:rPr>
                <w:b/>
              </w:rPr>
            </w:pPr>
            <w:r w:rsidRPr="0044141E">
              <w:rPr>
                <w:b/>
                <w:bCs/>
                <w:color w:val="000000"/>
              </w:rPr>
              <w:t>Total Current Assets</w:t>
            </w:r>
          </w:p>
        </w:tc>
        <w:tc>
          <w:tcPr>
            <w:tcW w:w="1559" w:type="dxa"/>
          </w:tcPr>
          <w:p w:rsidR="00D2400B" w:rsidRPr="004809AF" w:rsidRDefault="00D2400B" w:rsidP="003206AB">
            <w:pPr>
              <w:spacing w:beforeLines="40" w:before="96" w:after="0"/>
              <w:jc w:val="center"/>
            </w:pPr>
          </w:p>
        </w:tc>
        <w:tc>
          <w:tcPr>
            <w:tcW w:w="1985" w:type="dxa"/>
            <w:tcBorders>
              <w:top w:val="single" w:sz="4" w:space="0" w:color="auto"/>
            </w:tcBorders>
          </w:tcPr>
          <w:p w:rsidR="00D2400B" w:rsidRPr="004809AF" w:rsidRDefault="00D2400B" w:rsidP="003206AB">
            <w:pPr>
              <w:spacing w:beforeLines="40" w:before="96" w:after="0"/>
              <w:jc w:val="right"/>
            </w:pPr>
            <w:r w:rsidRPr="004809AF">
              <w:rPr>
                <w:color w:val="000000"/>
              </w:rPr>
              <w:t>7,694,25</w:t>
            </w:r>
            <w:r>
              <w:rPr>
                <w:color w:val="000000"/>
              </w:rPr>
              <w:t>5</w:t>
            </w:r>
          </w:p>
        </w:tc>
        <w:tc>
          <w:tcPr>
            <w:tcW w:w="1701" w:type="dxa"/>
            <w:tcBorders>
              <w:top w:val="single" w:sz="4" w:space="0" w:color="auto"/>
            </w:tcBorders>
          </w:tcPr>
          <w:p w:rsidR="00D2400B" w:rsidRPr="004809AF" w:rsidRDefault="00D2400B" w:rsidP="003206AB">
            <w:pPr>
              <w:spacing w:beforeLines="40" w:before="96" w:after="0"/>
              <w:jc w:val="right"/>
            </w:pPr>
            <w:r w:rsidRPr="004809AF">
              <w:rPr>
                <w:color w:val="000000"/>
              </w:rPr>
              <w:t>8,313,758</w:t>
            </w:r>
          </w:p>
        </w:tc>
      </w:tr>
      <w:tr w:rsidR="00D2400B" w:rsidRPr="004809AF" w:rsidTr="000234B1">
        <w:trPr>
          <w:cantSplit/>
          <w:jc w:val="center"/>
        </w:trPr>
        <w:tc>
          <w:tcPr>
            <w:tcW w:w="3557" w:type="dxa"/>
          </w:tcPr>
          <w:p w:rsidR="00D2400B" w:rsidRPr="0044141E" w:rsidRDefault="00D2400B" w:rsidP="003206AB">
            <w:pPr>
              <w:spacing w:beforeLines="40" w:before="96" w:after="0"/>
              <w:rPr>
                <w:b/>
              </w:rPr>
            </w:pPr>
            <w:r w:rsidRPr="0044141E">
              <w:rPr>
                <w:b/>
                <w:bCs/>
                <w:color w:val="000000"/>
              </w:rPr>
              <w:t>Non-Current Assets</w:t>
            </w:r>
          </w:p>
        </w:tc>
        <w:tc>
          <w:tcPr>
            <w:tcW w:w="1559" w:type="dxa"/>
          </w:tcPr>
          <w:p w:rsidR="00D2400B" w:rsidRPr="004809AF" w:rsidRDefault="00D2400B" w:rsidP="003206AB">
            <w:pPr>
              <w:spacing w:beforeLines="40" w:before="96" w:after="0"/>
              <w:jc w:val="center"/>
            </w:pPr>
          </w:p>
        </w:tc>
        <w:tc>
          <w:tcPr>
            <w:tcW w:w="1985" w:type="dxa"/>
          </w:tcPr>
          <w:p w:rsidR="00D2400B" w:rsidRPr="004809AF" w:rsidRDefault="00D2400B" w:rsidP="003206AB">
            <w:pPr>
              <w:spacing w:beforeLines="40" w:before="96" w:after="0"/>
              <w:jc w:val="right"/>
            </w:pPr>
          </w:p>
        </w:tc>
        <w:tc>
          <w:tcPr>
            <w:tcW w:w="1701" w:type="dxa"/>
          </w:tcPr>
          <w:p w:rsidR="00D2400B" w:rsidRPr="004809AF" w:rsidRDefault="00D2400B" w:rsidP="003206AB">
            <w:pPr>
              <w:spacing w:beforeLines="40" w:before="96" w:after="0"/>
              <w:jc w:val="right"/>
            </w:pPr>
          </w:p>
        </w:tc>
      </w:tr>
      <w:tr w:rsidR="00D2400B" w:rsidRPr="004809AF" w:rsidTr="000234B1">
        <w:trPr>
          <w:cantSplit/>
          <w:jc w:val="center"/>
        </w:trPr>
        <w:tc>
          <w:tcPr>
            <w:tcW w:w="3557" w:type="dxa"/>
          </w:tcPr>
          <w:p w:rsidR="00D2400B" w:rsidRPr="004809AF" w:rsidRDefault="00D2400B" w:rsidP="003206AB">
            <w:pPr>
              <w:spacing w:beforeLines="40" w:before="96" w:after="0"/>
            </w:pPr>
            <w:r w:rsidRPr="004809AF">
              <w:rPr>
                <w:color w:val="000000"/>
              </w:rPr>
              <w:t>Property, Plant and Equipment</w:t>
            </w:r>
          </w:p>
        </w:tc>
        <w:tc>
          <w:tcPr>
            <w:tcW w:w="1559" w:type="dxa"/>
          </w:tcPr>
          <w:p w:rsidR="00D2400B" w:rsidRPr="004809AF" w:rsidRDefault="00D2400B" w:rsidP="003206AB">
            <w:pPr>
              <w:spacing w:beforeLines="40" w:before="96" w:after="0"/>
              <w:jc w:val="center"/>
            </w:pPr>
            <w:r w:rsidRPr="004809AF">
              <w:rPr>
                <w:color w:val="000000"/>
              </w:rPr>
              <w:t>9</w:t>
            </w:r>
          </w:p>
        </w:tc>
        <w:tc>
          <w:tcPr>
            <w:tcW w:w="1985" w:type="dxa"/>
          </w:tcPr>
          <w:p w:rsidR="00D2400B" w:rsidRPr="004809AF" w:rsidRDefault="00D2400B" w:rsidP="003206AB">
            <w:pPr>
              <w:spacing w:beforeLines="40" w:before="96" w:after="0"/>
              <w:jc w:val="right"/>
              <w:rPr>
                <w:color w:val="000000"/>
              </w:rPr>
            </w:pPr>
            <w:r w:rsidRPr="004809AF">
              <w:rPr>
                <w:color w:val="000000"/>
                <w:u w:val="single"/>
              </w:rPr>
              <w:t>243,796</w:t>
            </w:r>
          </w:p>
        </w:tc>
        <w:tc>
          <w:tcPr>
            <w:tcW w:w="1701" w:type="dxa"/>
          </w:tcPr>
          <w:p w:rsidR="00D2400B" w:rsidRPr="004809AF" w:rsidRDefault="00D2400B" w:rsidP="003206AB">
            <w:pPr>
              <w:spacing w:beforeLines="40" w:before="96" w:after="0"/>
              <w:jc w:val="right"/>
            </w:pPr>
            <w:r w:rsidRPr="004809AF">
              <w:rPr>
                <w:color w:val="000000"/>
                <w:u w:val="single"/>
              </w:rPr>
              <w:t>258,537</w:t>
            </w:r>
          </w:p>
        </w:tc>
      </w:tr>
      <w:tr w:rsidR="00D2400B" w:rsidRPr="004809AF" w:rsidTr="000234B1">
        <w:trPr>
          <w:cantSplit/>
          <w:jc w:val="center"/>
        </w:trPr>
        <w:tc>
          <w:tcPr>
            <w:tcW w:w="3557" w:type="dxa"/>
          </w:tcPr>
          <w:p w:rsidR="00D2400B" w:rsidRPr="0044141E" w:rsidRDefault="00D2400B" w:rsidP="003206AB">
            <w:pPr>
              <w:spacing w:beforeLines="40" w:before="96" w:after="0"/>
              <w:rPr>
                <w:b/>
              </w:rPr>
            </w:pPr>
            <w:r w:rsidRPr="0044141E">
              <w:rPr>
                <w:b/>
                <w:bCs/>
                <w:color w:val="000000"/>
              </w:rPr>
              <w:t>Total Non-Current Assets</w:t>
            </w:r>
          </w:p>
        </w:tc>
        <w:tc>
          <w:tcPr>
            <w:tcW w:w="1559" w:type="dxa"/>
          </w:tcPr>
          <w:p w:rsidR="00D2400B" w:rsidRPr="004809AF" w:rsidRDefault="00D2400B" w:rsidP="003206AB">
            <w:pPr>
              <w:spacing w:beforeLines="40" w:before="96" w:after="0"/>
              <w:jc w:val="center"/>
            </w:pPr>
          </w:p>
        </w:tc>
        <w:tc>
          <w:tcPr>
            <w:tcW w:w="1985" w:type="dxa"/>
          </w:tcPr>
          <w:p w:rsidR="00D2400B" w:rsidRPr="004809AF" w:rsidRDefault="00D2400B" w:rsidP="003206AB">
            <w:pPr>
              <w:spacing w:beforeLines="40" w:before="96" w:after="0"/>
              <w:jc w:val="right"/>
            </w:pPr>
            <w:r w:rsidRPr="004809AF">
              <w:rPr>
                <w:color w:val="000000"/>
              </w:rPr>
              <w:t>243,796</w:t>
            </w:r>
          </w:p>
        </w:tc>
        <w:tc>
          <w:tcPr>
            <w:tcW w:w="1701" w:type="dxa"/>
          </w:tcPr>
          <w:p w:rsidR="00D2400B" w:rsidRPr="004809AF" w:rsidRDefault="00D2400B" w:rsidP="003206AB">
            <w:pPr>
              <w:spacing w:beforeLines="40" w:before="96" w:after="0"/>
              <w:jc w:val="right"/>
            </w:pPr>
            <w:r w:rsidRPr="004809AF">
              <w:rPr>
                <w:color w:val="000000"/>
              </w:rPr>
              <w:t>258,537</w:t>
            </w:r>
          </w:p>
        </w:tc>
      </w:tr>
      <w:tr w:rsidR="00D2400B" w:rsidRPr="004809AF" w:rsidTr="000234B1">
        <w:trPr>
          <w:cantSplit/>
          <w:jc w:val="center"/>
        </w:trPr>
        <w:tc>
          <w:tcPr>
            <w:tcW w:w="3557" w:type="dxa"/>
          </w:tcPr>
          <w:p w:rsidR="00D2400B" w:rsidRPr="0044141E" w:rsidRDefault="00D2400B" w:rsidP="003206AB">
            <w:pPr>
              <w:spacing w:beforeLines="40" w:before="96" w:after="0"/>
              <w:rPr>
                <w:b/>
              </w:rPr>
            </w:pPr>
            <w:r w:rsidRPr="0044141E">
              <w:rPr>
                <w:b/>
                <w:bCs/>
                <w:color w:val="000000"/>
              </w:rPr>
              <w:t>Total Assets</w:t>
            </w:r>
          </w:p>
        </w:tc>
        <w:tc>
          <w:tcPr>
            <w:tcW w:w="1559" w:type="dxa"/>
          </w:tcPr>
          <w:p w:rsidR="00D2400B" w:rsidRPr="004809AF" w:rsidRDefault="00D2400B" w:rsidP="003206AB">
            <w:pPr>
              <w:spacing w:beforeLines="40" w:before="96" w:after="0"/>
              <w:jc w:val="center"/>
              <w:rPr>
                <w:u w:val="single"/>
              </w:rPr>
            </w:pPr>
          </w:p>
        </w:tc>
        <w:tc>
          <w:tcPr>
            <w:tcW w:w="1985" w:type="dxa"/>
            <w:tcBorders>
              <w:top w:val="single" w:sz="4" w:space="0" w:color="auto"/>
              <w:bottom w:val="single" w:sz="4" w:space="0" w:color="auto"/>
            </w:tcBorders>
          </w:tcPr>
          <w:p w:rsidR="00D2400B" w:rsidRPr="004809AF" w:rsidRDefault="00D2400B" w:rsidP="003206AB">
            <w:pPr>
              <w:spacing w:beforeLines="40" w:before="96" w:after="0"/>
              <w:jc w:val="right"/>
              <w:rPr>
                <w:u w:val="single"/>
              </w:rPr>
            </w:pPr>
            <w:r w:rsidRPr="004809AF">
              <w:rPr>
                <w:color w:val="000000"/>
              </w:rPr>
              <w:t>7,938,051</w:t>
            </w:r>
          </w:p>
        </w:tc>
        <w:tc>
          <w:tcPr>
            <w:tcW w:w="1701" w:type="dxa"/>
            <w:tcBorders>
              <w:top w:val="single" w:sz="4" w:space="0" w:color="auto"/>
              <w:bottom w:val="single" w:sz="4" w:space="0" w:color="auto"/>
            </w:tcBorders>
          </w:tcPr>
          <w:p w:rsidR="00D2400B" w:rsidRPr="004809AF" w:rsidRDefault="00D2400B" w:rsidP="003206AB">
            <w:pPr>
              <w:spacing w:beforeLines="40" w:before="96" w:after="0"/>
              <w:jc w:val="right"/>
            </w:pPr>
            <w:r w:rsidRPr="004809AF">
              <w:rPr>
                <w:color w:val="000000"/>
              </w:rPr>
              <w:t>8,572,295</w:t>
            </w:r>
          </w:p>
        </w:tc>
      </w:tr>
      <w:tr w:rsidR="00D2400B" w:rsidRPr="004809AF" w:rsidTr="000234B1">
        <w:trPr>
          <w:cantSplit/>
          <w:jc w:val="center"/>
        </w:trPr>
        <w:tc>
          <w:tcPr>
            <w:tcW w:w="3557" w:type="dxa"/>
          </w:tcPr>
          <w:p w:rsidR="00D2400B" w:rsidRPr="0044141E" w:rsidRDefault="00D2400B" w:rsidP="003206AB">
            <w:pPr>
              <w:spacing w:beforeLines="40" w:before="96" w:after="0"/>
              <w:rPr>
                <w:b/>
              </w:rPr>
            </w:pPr>
            <w:r w:rsidRPr="0044141E">
              <w:rPr>
                <w:b/>
                <w:bCs/>
                <w:color w:val="000000"/>
              </w:rPr>
              <w:t>Current Liabilities</w:t>
            </w:r>
          </w:p>
        </w:tc>
        <w:tc>
          <w:tcPr>
            <w:tcW w:w="1559" w:type="dxa"/>
          </w:tcPr>
          <w:p w:rsidR="00D2400B" w:rsidRPr="004809AF" w:rsidRDefault="00D2400B" w:rsidP="003206AB">
            <w:pPr>
              <w:spacing w:beforeLines="40" w:before="96" w:after="0"/>
              <w:jc w:val="center"/>
            </w:pPr>
          </w:p>
        </w:tc>
        <w:tc>
          <w:tcPr>
            <w:tcW w:w="1985" w:type="dxa"/>
          </w:tcPr>
          <w:p w:rsidR="00D2400B" w:rsidRPr="004809AF" w:rsidRDefault="00D2400B" w:rsidP="003206AB">
            <w:pPr>
              <w:spacing w:beforeLines="40" w:before="96" w:after="0"/>
              <w:jc w:val="right"/>
            </w:pPr>
          </w:p>
        </w:tc>
        <w:tc>
          <w:tcPr>
            <w:tcW w:w="1701" w:type="dxa"/>
          </w:tcPr>
          <w:p w:rsidR="00D2400B" w:rsidRPr="004809AF" w:rsidRDefault="00D2400B" w:rsidP="003206AB">
            <w:pPr>
              <w:spacing w:beforeLines="40" w:before="96" w:after="0"/>
              <w:jc w:val="right"/>
            </w:pPr>
          </w:p>
        </w:tc>
      </w:tr>
      <w:tr w:rsidR="00D2400B" w:rsidRPr="004809AF" w:rsidTr="000234B1">
        <w:trPr>
          <w:cantSplit/>
          <w:jc w:val="center"/>
        </w:trPr>
        <w:tc>
          <w:tcPr>
            <w:tcW w:w="3557" w:type="dxa"/>
          </w:tcPr>
          <w:p w:rsidR="00D2400B" w:rsidRPr="004809AF" w:rsidRDefault="00D2400B" w:rsidP="003206AB">
            <w:pPr>
              <w:spacing w:beforeLines="40" w:before="96" w:after="0"/>
            </w:pPr>
            <w:r w:rsidRPr="004809AF">
              <w:rPr>
                <w:color w:val="000000"/>
              </w:rPr>
              <w:t>Trade and Other Payables</w:t>
            </w:r>
          </w:p>
        </w:tc>
        <w:tc>
          <w:tcPr>
            <w:tcW w:w="1559" w:type="dxa"/>
          </w:tcPr>
          <w:p w:rsidR="00D2400B" w:rsidRPr="004809AF" w:rsidRDefault="00D2400B" w:rsidP="003206AB">
            <w:pPr>
              <w:spacing w:beforeLines="40" w:before="96" w:after="0"/>
              <w:jc w:val="center"/>
            </w:pPr>
            <w:r w:rsidRPr="004809AF">
              <w:rPr>
                <w:color w:val="000000"/>
              </w:rPr>
              <w:t>10</w:t>
            </w:r>
          </w:p>
        </w:tc>
        <w:tc>
          <w:tcPr>
            <w:tcW w:w="1985" w:type="dxa"/>
          </w:tcPr>
          <w:p w:rsidR="00D2400B" w:rsidRPr="004809AF" w:rsidRDefault="00D2400B" w:rsidP="003206AB">
            <w:pPr>
              <w:spacing w:beforeLines="40" w:before="96" w:after="0"/>
              <w:jc w:val="right"/>
            </w:pPr>
            <w:r w:rsidRPr="004809AF">
              <w:rPr>
                <w:color w:val="000000"/>
              </w:rPr>
              <w:t>128,786</w:t>
            </w:r>
          </w:p>
        </w:tc>
        <w:tc>
          <w:tcPr>
            <w:tcW w:w="1701" w:type="dxa"/>
          </w:tcPr>
          <w:p w:rsidR="00D2400B" w:rsidRPr="004809AF" w:rsidRDefault="00D2400B" w:rsidP="003206AB">
            <w:pPr>
              <w:spacing w:beforeLines="40" w:before="96" w:after="0"/>
              <w:jc w:val="right"/>
            </w:pPr>
            <w:r w:rsidRPr="004809AF">
              <w:rPr>
                <w:color w:val="000000"/>
              </w:rPr>
              <w:t>276,252</w:t>
            </w:r>
          </w:p>
        </w:tc>
      </w:tr>
      <w:tr w:rsidR="00D2400B" w:rsidRPr="004809AF" w:rsidTr="000234B1">
        <w:trPr>
          <w:cantSplit/>
          <w:jc w:val="center"/>
        </w:trPr>
        <w:tc>
          <w:tcPr>
            <w:tcW w:w="3557" w:type="dxa"/>
          </w:tcPr>
          <w:p w:rsidR="00D2400B" w:rsidRPr="004809AF" w:rsidRDefault="00D2400B" w:rsidP="003206AB">
            <w:pPr>
              <w:spacing w:beforeLines="40" w:before="96" w:after="0"/>
            </w:pPr>
            <w:r w:rsidRPr="004809AF">
              <w:rPr>
                <w:color w:val="000000"/>
              </w:rPr>
              <w:t>Employee Benefits</w:t>
            </w:r>
          </w:p>
        </w:tc>
        <w:tc>
          <w:tcPr>
            <w:tcW w:w="1559" w:type="dxa"/>
          </w:tcPr>
          <w:p w:rsidR="00D2400B" w:rsidRPr="004809AF" w:rsidRDefault="00D2400B" w:rsidP="003206AB">
            <w:pPr>
              <w:spacing w:beforeLines="40" w:before="96" w:after="0"/>
              <w:jc w:val="center"/>
            </w:pPr>
            <w:r w:rsidRPr="004809AF">
              <w:rPr>
                <w:color w:val="000000"/>
              </w:rPr>
              <w:t>11</w:t>
            </w:r>
          </w:p>
        </w:tc>
        <w:tc>
          <w:tcPr>
            <w:tcW w:w="1985" w:type="dxa"/>
            <w:tcBorders>
              <w:bottom w:val="single" w:sz="4" w:space="0" w:color="auto"/>
            </w:tcBorders>
          </w:tcPr>
          <w:p w:rsidR="00D2400B" w:rsidRPr="004809AF" w:rsidRDefault="00D2400B" w:rsidP="003206AB">
            <w:pPr>
              <w:spacing w:beforeLines="40" w:before="96" w:after="0"/>
              <w:jc w:val="right"/>
            </w:pPr>
            <w:r w:rsidRPr="004809AF">
              <w:rPr>
                <w:color w:val="000000"/>
              </w:rPr>
              <w:t>57,386</w:t>
            </w:r>
          </w:p>
        </w:tc>
        <w:tc>
          <w:tcPr>
            <w:tcW w:w="1701" w:type="dxa"/>
            <w:tcBorders>
              <w:bottom w:val="single" w:sz="4" w:space="0" w:color="auto"/>
            </w:tcBorders>
          </w:tcPr>
          <w:p w:rsidR="00D2400B" w:rsidRPr="004809AF" w:rsidRDefault="00D2400B" w:rsidP="003206AB">
            <w:pPr>
              <w:spacing w:beforeLines="40" w:before="96" w:after="0"/>
              <w:jc w:val="right"/>
            </w:pPr>
            <w:r w:rsidRPr="004809AF">
              <w:rPr>
                <w:color w:val="000000"/>
              </w:rPr>
              <w:t>42,084</w:t>
            </w:r>
          </w:p>
        </w:tc>
      </w:tr>
      <w:tr w:rsidR="00D2400B" w:rsidRPr="004809AF" w:rsidTr="000234B1">
        <w:trPr>
          <w:cantSplit/>
          <w:jc w:val="center"/>
        </w:trPr>
        <w:tc>
          <w:tcPr>
            <w:tcW w:w="3557" w:type="dxa"/>
          </w:tcPr>
          <w:p w:rsidR="00D2400B" w:rsidRPr="0044141E" w:rsidRDefault="00D2400B" w:rsidP="003206AB">
            <w:pPr>
              <w:spacing w:beforeLines="40" w:before="96" w:after="0"/>
              <w:rPr>
                <w:b/>
              </w:rPr>
            </w:pPr>
            <w:r w:rsidRPr="0044141E">
              <w:rPr>
                <w:b/>
                <w:bCs/>
                <w:color w:val="000000"/>
              </w:rPr>
              <w:t>Total Current Liabilities</w:t>
            </w:r>
          </w:p>
        </w:tc>
        <w:tc>
          <w:tcPr>
            <w:tcW w:w="1559" w:type="dxa"/>
          </w:tcPr>
          <w:p w:rsidR="00D2400B" w:rsidRPr="004809AF" w:rsidRDefault="00D2400B" w:rsidP="003206AB">
            <w:pPr>
              <w:spacing w:beforeLines="40" w:before="96" w:after="0"/>
              <w:jc w:val="center"/>
            </w:pPr>
          </w:p>
        </w:tc>
        <w:tc>
          <w:tcPr>
            <w:tcW w:w="1985" w:type="dxa"/>
            <w:tcBorders>
              <w:top w:val="single" w:sz="4" w:space="0" w:color="auto"/>
            </w:tcBorders>
          </w:tcPr>
          <w:p w:rsidR="00D2400B" w:rsidRPr="004809AF" w:rsidRDefault="00D2400B" w:rsidP="003206AB">
            <w:pPr>
              <w:spacing w:beforeLines="40" w:before="96" w:after="0"/>
              <w:jc w:val="right"/>
            </w:pPr>
            <w:r w:rsidRPr="004809AF">
              <w:rPr>
                <w:color w:val="000000"/>
              </w:rPr>
              <w:t>186,172</w:t>
            </w:r>
          </w:p>
        </w:tc>
        <w:tc>
          <w:tcPr>
            <w:tcW w:w="1701" w:type="dxa"/>
            <w:tcBorders>
              <w:top w:val="single" w:sz="4" w:space="0" w:color="auto"/>
            </w:tcBorders>
          </w:tcPr>
          <w:p w:rsidR="00D2400B" w:rsidRPr="004809AF" w:rsidRDefault="00D2400B" w:rsidP="003206AB">
            <w:pPr>
              <w:spacing w:beforeLines="40" w:before="96" w:after="0"/>
              <w:jc w:val="right"/>
            </w:pPr>
            <w:r w:rsidRPr="004809AF">
              <w:rPr>
                <w:color w:val="000000"/>
              </w:rPr>
              <w:t>318,336</w:t>
            </w:r>
          </w:p>
        </w:tc>
      </w:tr>
      <w:tr w:rsidR="00D2400B" w:rsidRPr="004809AF" w:rsidTr="000234B1">
        <w:trPr>
          <w:cantSplit/>
          <w:jc w:val="center"/>
        </w:trPr>
        <w:tc>
          <w:tcPr>
            <w:tcW w:w="3557" w:type="dxa"/>
          </w:tcPr>
          <w:p w:rsidR="00D2400B" w:rsidRPr="0044141E" w:rsidRDefault="00D2400B" w:rsidP="003206AB">
            <w:pPr>
              <w:spacing w:beforeLines="40" w:before="96" w:after="0"/>
              <w:rPr>
                <w:b/>
              </w:rPr>
            </w:pPr>
            <w:r w:rsidRPr="0044141E">
              <w:rPr>
                <w:b/>
                <w:bCs/>
                <w:color w:val="000000"/>
              </w:rPr>
              <w:t>Non-Current Liabilities</w:t>
            </w:r>
          </w:p>
        </w:tc>
        <w:tc>
          <w:tcPr>
            <w:tcW w:w="1559" w:type="dxa"/>
          </w:tcPr>
          <w:p w:rsidR="00D2400B" w:rsidRPr="004809AF" w:rsidRDefault="00D2400B" w:rsidP="003206AB">
            <w:pPr>
              <w:spacing w:beforeLines="40" w:before="96" w:after="0"/>
              <w:jc w:val="center"/>
            </w:pPr>
          </w:p>
        </w:tc>
        <w:tc>
          <w:tcPr>
            <w:tcW w:w="1985" w:type="dxa"/>
          </w:tcPr>
          <w:p w:rsidR="00D2400B" w:rsidRPr="004809AF" w:rsidRDefault="00D2400B" w:rsidP="003206AB">
            <w:pPr>
              <w:spacing w:beforeLines="40" w:before="96" w:after="0"/>
              <w:jc w:val="right"/>
            </w:pPr>
          </w:p>
        </w:tc>
        <w:tc>
          <w:tcPr>
            <w:tcW w:w="1701" w:type="dxa"/>
          </w:tcPr>
          <w:p w:rsidR="00D2400B" w:rsidRPr="004809AF" w:rsidRDefault="00D2400B" w:rsidP="003206AB">
            <w:pPr>
              <w:spacing w:beforeLines="40" w:before="96" w:after="0"/>
              <w:jc w:val="right"/>
            </w:pPr>
          </w:p>
        </w:tc>
      </w:tr>
      <w:tr w:rsidR="00D2400B" w:rsidRPr="004809AF" w:rsidTr="000234B1">
        <w:trPr>
          <w:cantSplit/>
          <w:jc w:val="center"/>
        </w:trPr>
        <w:tc>
          <w:tcPr>
            <w:tcW w:w="3557" w:type="dxa"/>
          </w:tcPr>
          <w:p w:rsidR="00D2400B" w:rsidRPr="004809AF" w:rsidRDefault="00D2400B" w:rsidP="003206AB">
            <w:pPr>
              <w:spacing w:beforeLines="40" w:before="96" w:after="0"/>
            </w:pPr>
            <w:r w:rsidRPr="004809AF">
              <w:rPr>
                <w:color w:val="000000"/>
              </w:rPr>
              <w:t>Employee Benefits</w:t>
            </w:r>
          </w:p>
        </w:tc>
        <w:tc>
          <w:tcPr>
            <w:tcW w:w="1559" w:type="dxa"/>
          </w:tcPr>
          <w:p w:rsidR="00D2400B" w:rsidRPr="004809AF" w:rsidRDefault="00D2400B" w:rsidP="003206AB">
            <w:pPr>
              <w:spacing w:beforeLines="40" w:before="96" w:after="0"/>
              <w:jc w:val="center"/>
            </w:pPr>
            <w:r w:rsidRPr="004809AF">
              <w:rPr>
                <w:color w:val="000000"/>
              </w:rPr>
              <w:t>11</w:t>
            </w:r>
          </w:p>
        </w:tc>
        <w:tc>
          <w:tcPr>
            <w:tcW w:w="1985" w:type="dxa"/>
            <w:tcBorders>
              <w:bottom w:val="single" w:sz="4" w:space="0" w:color="auto"/>
            </w:tcBorders>
          </w:tcPr>
          <w:p w:rsidR="00D2400B" w:rsidRPr="004809AF" w:rsidRDefault="00D2400B" w:rsidP="003206AB">
            <w:pPr>
              <w:spacing w:beforeLines="40" w:before="96" w:after="0"/>
              <w:jc w:val="right"/>
            </w:pPr>
            <w:r w:rsidRPr="004809AF">
              <w:rPr>
                <w:color w:val="000000"/>
              </w:rPr>
              <w:t>79,863</w:t>
            </w:r>
          </w:p>
        </w:tc>
        <w:tc>
          <w:tcPr>
            <w:tcW w:w="1701" w:type="dxa"/>
            <w:tcBorders>
              <w:bottom w:val="single" w:sz="4" w:space="0" w:color="auto"/>
            </w:tcBorders>
          </w:tcPr>
          <w:p w:rsidR="00D2400B" w:rsidRPr="004809AF" w:rsidRDefault="00D2400B" w:rsidP="003206AB">
            <w:pPr>
              <w:spacing w:beforeLines="40" w:before="96" w:after="0"/>
              <w:jc w:val="right"/>
            </w:pPr>
            <w:r w:rsidRPr="004809AF">
              <w:rPr>
                <w:color w:val="000000"/>
              </w:rPr>
              <w:t>64,574</w:t>
            </w:r>
          </w:p>
        </w:tc>
      </w:tr>
      <w:tr w:rsidR="00D2400B" w:rsidRPr="004809AF" w:rsidTr="000234B1">
        <w:trPr>
          <w:cantSplit/>
          <w:jc w:val="center"/>
        </w:trPr>
        <w:tc>
          <w:tcPr>
            <w:tcW w:w="3557" w:type="dxa"/>
          </w:tcPr>
          <w:p w:rsidR="00D2400B" w:rsidRPr="0044141E" w:rsidRDefault="00D2400B" w:rsidP="003206AB">
            <w:pPr>
              <w:spacing w:beforeLines="40" w:before="96" w:after="0"/>
              <w:rPr>
                <w:b/>
              </w:rPr>
            </w:pPr>
            <w:r w:rsidRPr="0044141E">
              <w:rPr>
                <w:b/>
                <w:bCs/>
                <w:color w:val="000000"/>
              </w:rPr>
              <w:t>Total Non-Current Liabilities</w:t>
            </w:r>
          </w:p>
        </w:tc>
        <w:tc>
          <w:tcPr>
            <w:tcW w:w="1559" w:type="dxa"/>
          </w:tcPr>
          <w:p w:rsidR="00D2400B" w:rsidRPr="004809AF" w:rsidRDefault="00D2400B" w:rsidP="003206AB">
            <w:pPr>
              <w:spacing w:beforeLines="40" w:before="96" w:after="0"/>
              <w:jc w:val="center"/>
            </w:pPr>
          </w:p>
        </w:tc>
        <w:tc>
          <w:tcPr>
            <w:tcW w:w="1985" w:type="dxa"/>
            <w:tcBorders>
              <w:top w:val="single" w:sz="4" w:space="0" w:color="auto"/>
            </w:tcBorders>
          </w:tcPr>
          <w:p w:rsidR="00D2400B" w:rsidRPr="004809AF" w:rsidRDefault="00D2400B" w:rsidP="003206AB">
            <w:pPr>
              <w:spacing w:beforeLines="40" w:before="96" w:after="0"/>
              <w:jc w:val="right"/>
            </w:pPr>
            <w:r w:rsidRPr="004809AF">
              <w:rPr>
                <w:color w:val="000000"/>
              </w:rPr>
              <w:t>79,863</w:t>
            </w:r>
          </w:p>
        </w:tc>
        <w:tc>
          <w:tcPr>
            <w:tcW w:w="1701" w:type="dxa"/>
            <w:tcBorders>
              <w:top w:val="single" w:sz="4" w:space="0" w:color="auto"/>
            </w:tcBorders>
          </w:tcPr>
          <w:p w:rsidR="00D2400B" w:rsidRPr="004809AF" w:rsidRDefault="00D2400B" w:rsidP="003206AB">
            <w:pPr>
              <w:spacing w:beforeLines="40" w:before="96" w:after="0"/>
              <w:jc w:val="right"/>
            </w:pPr>
            <w:r w:rsidRPr="004809AF">
              <w:rPr>
                <w:color w:val="000000"/>
              </w:rPr>
              <w:t>64,574</w:t>
            </w:r>
          </w:p>
        </w:tc>
      </w:tr>
      <w:tr w:rsidR="00D2400B" w:rsidRPr="004809AF" w:rsidTr="000234B1">
        <w:trPr>
          <w:cantSplit/>
          <w:jc w:val="center"/>
        </w:trPr>
        <w:tc>
          <w:tcPr>
            <w:tcW w:w="3557" w:type="dxa"/>
          </w:tcPr>
          <w:p w:rsidR="00D2400B" w:rsidRPr="0044141E" w:rsidRDefault="00D2400B" w:rsidP="003206AB">
            <w:pPr>
              <w:spacing w:beforeLines="40" w:before="96" w:after="0"/>
              <w:rPr>
                <w:b/>
              </w:rPr>
            </w:pPr>
            <w:r w:rsidRPr="0044141E">
              <w:rPr>
                <w:b/>
                <w:bCs/>
                <w:color w:val="000000"/>
              </w:rPr>
              <w:t>Total Liabilities</w:t>
            </w:r>
          </w:p>
        </w:tc>
        <w:tc>
          <w:tcPr>
            <w:tcW w:w="1559" w:type="dxa"/>
          </w:tcPr>
          <w:p w:rsidR="00D2400B" w:rsidRPr="004809AF" w:rsidRDefault="00D2400B" w:rsidP="003206AB">
            <w:pPr>
              <w:spacing w:beforeLines="40" w:before="96" w:after="0"/>
              <w:jc w:val="center"/>
            </w:pPr>
          </w:p>
        </w:tc>
        <w:tc>
          <w:tcPr>
            <w:tcW w:w="1985" w:type="dxa"/>
            <w:tcBorders>
              <w:top w:val="single" w:sz="4" w:space="0" w:color="auto"/>
              <w:bottom w:val="single" w:sz="4" w:space="0" w:color="auto"/>
            </w:tcBorders>
          </w:tcPr>
          <w:p w:rsidR="00D2400B" w:rsidRPr="004809AF" w:rsidRDefault="00D2400B" w:rsidP="003206AB">
            <w:pPr>
              <w:spacing w:beforeLines="40" w:before="96" w:after="0"/>
              <w:jc w:val="right"/>
            </w:pPr>
            <w:r w:rsidRPr="004809AF">
              <w:rPr>
                <w:color w:val="000000"/>
              </w:rPr>
              <w:t>266,035</w:t>
            </w:r>
          </w:p>
        </w:tc>
        <w:tc>
          <w:tcPr>
            <w:tcW w:w="1701" w:type="dxa"/>
            <w:tcBorders>
              <w:top w:val="single" w:sz="4" w:space="0" w:color="auto"/>
              <w:bottom w:val="single" w:sz="4" w:space="0" w:color="auto"/>
            </w:tcBorders>
          </w:tcPr>
          <w:p w:rsidR="00D2400B" w:rsidRPr="004809AF" w:rsidRDefault="00D2400B" w:rsidP="003206AB">
            <w:pPr>
              <w:spacing w:beforeLines="40" w:before="96" w:after="0"/>
              <w:jc w:val="right"/>
            </w:pPr>
            <w:r w:rsidRPr="004809AF">
              <w:rPr>
                <w:color w:val="000000"/>
              </w:rPr>
              <w:t>382,910</w:t>
            </w:r>
          </w:p>
        </w:tc>
      </w:tr>
      <w:tr w:rsidR="00D2400B" w:rsidRPr="004809AF" w:rsidTr="000234B1">
        <w:trPr>
          <w:cantSplit/>
          <w:jc w:val="center"/>
        </w:trPr>
        <w:tc>
          <w:tcPr>
            <w:tcW w:w="3557" w:type="dxa"/>
          </w:tcPr>
          <w:p w:rsidR="00D2400B" w:rsidRPr="0044141E" w:rsidRDefault="00D2400B" w:rsidP="003206AB">
            <w:pPr>
              <w:spacing w:beforeLines="40" w:before="96" w:after="0"/>
              <w:rPr>
                <w:b/>
              </w:rPr>
            </w:pPr>
            <w:r w:rsidRPr="0044141E">
              <w:rPr>
                <w:b/>
                <w:bCs/>
                <w:color w:val="000000"/>
              </w:rPr>
              <w:t>Net Assets</w:t>
            </w:r>
          </w:p>
        </w:tc>
        <w:tc>
          <w:tcPr>
            <w:tcW w:w="1559" w:type="dxa"/>
          </w:tcPr>
          <w:p w:rsidR="00D2400B" w:rsidRPr="004809AF" w:rsidRDefault="00D2400B" w:rsidP="003206AB">
            <w:pPr>
              <w:spacing w:beforeLines="40" w:before="96" w:after="0"/>
              <w:jc w:val="center"/>
            </w:pPr>
          </w:p>
        </w:tc>
        <w:tc>
          <w:tcPr>
            <w:tcW w:w="1985" w:type="dxa"/>
            <w:tcBorders>
              <w:top w:val="single" w:sz="4" w:space="0" w:color="auto"/>
              <w:bottom w:val="double" w:sz="4" w:space="0" w:color="auto"/>
            </w:tcBorders>
          </w:tcPr>
          <w:p w:rsidR="00D2400B" w:rsidRPr="004809AF" w:rsidRDefault="00D2400B" w:rsidP="003206AB">
            <w:pPr>
              <w:spacing w:beforeLines="40" w:before="96" w:after="0"/>
              <w:jc w:val="right"/>
            </w:pPr>
            <w:r w:rsidRPr="004809AF">
              <w:rPr>
                <w:color w:val="000000"/>
              </w:rPr>
              <w:t>7,672,016</w:t>
            </w:r>
          </w:p>
        </w:tc>
        <w:tc>
          <w:tcPr>
            <w:tcW w:w="1701" w:type="dxa"/>
            <w:tcBorders>
              <w:top w:val="single" w:sz="4" w:space="0" w:color="auto"/>
              <w:bottom w:val="double" w:sz="4" w:space="0" w:color="auto"/>
            </w:tcBorders>
          </w:tcPr>
          <w:p w:rsidR="00D2400B" w:rsidRPr="004809AF" w:rsidRDefault="00D2400B" w:rsidP="003206AB">
            <w:pPr>
              <w:spacing w:beforeLines="40" w:before="96" w:after="0"/>
              <w:jc w:val="right"/>
            </w:pPr>
            <w:r w:rsidRPr="004809AF">
              <w:rPr>
                <w:color w:val="000000"/>
              </w:rPr>
              <w:t>8,189,385</w:t>
            </w:r>
          </w:p>
        </w:tc>
      </w:tr>
      <w:tr w:rsidR="00D2400B" w:rsidRPr="004809AF" w:rsidTr="000234B1">
        <w:trPr>
          <w:cantSplit/>
          <w:jc w:val="center"/>
        </w:trPr>
        <w:tc>
          <w:tcPr>
            <w:tcW w:w="3557" w:type="dxa"/>
          </w:tcPr>
          <w:p w:rsidR="00D2400B" w:rsidRPr="004809AF" w:rsidRDefault="00D2400B" w:rsidP="003206AB">
            <w:pPr>
              <w:spacing w:beforeLines="40" w:before="96" w:after="0"/>
            </w:pPr>
            <w:r w:rsidRPr="0044141E">
              <w:rPr>
                <w:b/>
                <w:bCs/>
                <w:color w:val="000000"/>
              </w:rPr>
              <w:t>Equity</w:t>
            </w:r>
          </w:p>
        </w:tc>
        <w:tc>
          <w:tcPr>
            <w:tcW w:w="1559" w:type="dxa"/>
          </w:tcPr>
          <w:p w:rsidR="00D2400B" w:rsidRPr="004809AF" w:rsidRDefault="00D2400B" w:rsidP="003206AB">
            <w:pPr>
              <w:spacing w:beforeLines="40" w:before="96" w:after="0"/>
              <w:jc w:val="center"/>
            </w:pPr>
          </w:p>
        </w:tc>
        <w:tc>
          <w:tcPr>
            <w:tcW w:w="1985" w:type="dxa"/>
          </w:tcPr>
          <w:p w:rsidR="00D2400B" w:rsidRPr="004809AF" w:rsidRDefault="00D2400B" w:rsidP="003206AB">
            <w:pPr>
              <w:spacing w:beforeLines="40" w:before="96" w:after="0"/>
              <w:jc w:val="right"/>
            </w:pPr>
          </w:p>
        </w:tc>
        <w:tc>
          <w:tcPr>
            <w:tcW w:w="1701" w:type="dxa"/>
          </w:tcPr>
          <w:p w:rsidR="00D2400B" w:rsidRPr="004809AF" w:rsidRDefault="00D2400B" w:rsidP="003206AB">
            <w:pPr>
              <w:spacing w:beforeLines="40" w:before="96" w:after="0"/>
              <w:jc w:val="right"/>
            </w:pPr>
          </w:p>
        </w:tc>
      </w:tr>
      <w:tr w:rsidR="00D2400B" w:rsidRPr="004809AF" w:rsidTr="000234B1">
        <w:trPr>
          <w:cantSplit/>
          <w:jc w:val="center"/>
        </w:trPr>
        <w:tc>
          <w:tcPr>
            <w:tcW w:w="3557" w:type="dxa"/>
          </w:tcPr>
          <w:p w:rsidR="00D2400B" w:rsidRPr="004809AF" w:rsidRDefault="00D2400B" w:rsidP="003206AB">
            <w:pPr>
              <w:spacing w:beforeLines="40" w:before="96" w:after="0"/>
            </w:pPr>
            <w:r w:rsidRPr="004809AF">
              <w:rPr>
                <w:color w:val="000000"/>
              </w:rPr>
              <w:t>Reserves</w:t>
            </w:r>
          </w:p>
        </w:tc>
        <w:tc>
          <w:tcPr>
            <w:tcW w:w="1559" w:type="dxa"/>
          </w:tcPr>
          <w:p w:rsidR="00D2400B" w:rsidRPr="004809AF" w:rsidRDefault="00D2400B" w:rsidP="003206AB">
            <w:pPr>
              <w:spacing w:beforeLines="40" w:before="96" w:after="0"/>
              <w:jc w:val="center"/>
            </w:pPr>
            <w:r w:rsidRPr="004809AF">
              <w:rPr>
                <w:color w:val="000000"/>
              </w:rPr>
              <w:t>12</w:t>
            </w:r>
          </w:p>
        </w:tc>
        <w:tc>
          <w:tcPr>
            <w:tcW w:w="1985" w:type="dxa"/>
          </w:tcPr>
          <w:p w:rsidR="00D2400B" w:rsidRPr="004809AF" w:rsidRDefault="00D2400B" w:rsidP="003206AB">
            <w:pPr>
              <w:spacing w:beforeLines="40" w:before="96" w:after="0"/>
              <w:jc w:val="right"/>
            </w:pPr>
            <w:r w:rsidRPr="004809AF">
              <w:rPr>
                <w:color w:val="000000"/>
              </w:rPr>
              <w:t>448,100</w:t>
            </w:r>
          </w:p>
        </w:tc>
        <w:tc>
          <w:tcPr>
            <w:tcW w:w="1701" w:type="dxa"/>
          </w:tcPr>
          <w:p w:rsidR="00D2400B" w:rsidRPr="004809AF" w:rsidRDefault="00D2400B" w:rsidP="003206AB">
            <w:pPr>
              <w:spacing w:beforeLines="40" w:before="96" w:after="0"/>
              <w:jc w:val="right"/>
            </w:pPr>
            <w:r w:rsidRPr="004809AF">
              <w:rPr>
                <w:color w:val="000000"/>
              </w:rPr>
              <w:t>448,100</w:t>
            </w:r>
          </w:p>
        </w:tc>
      </w:tr>
      <w:tr w:rsidR="00D2400B" w:rsidRPr="004809AF" w:rsidTr="000234B1">
        <w:trPr>
          <w:cantSplit/>
          <w:jc w:val="center"/>
        </w:trPr>
        <w:tc>
          <w:tcPr>
            <w:tcW w:w="3557" w:type="dxa"/>
          </w:tcPr>
          <w:p w:rsidR="00D2400B" w:rsidRPr="004809AF" w:rsidRDefault="00D2400B" w:rsidP="003206AB">
            <w:pPr>
              <w:spacing w:beforeLines="40" w:before="96" w:after="0"/>
            </w:pPr>
            <w:r w:rsidRPr="004809AF">
              <w:rPr>
                <w:color w:val="000000"/>
              </w:rPr>
              <w:t>Retained Profits</w:t>
            </w:r>
          </w:p>
        </w:tc>
        <w:tc>
          <w:tcPr>
            <w:tcW w:w="1559" w:type="dxa"/>
          </w:tcPr>
          <w:p w:rsidR="00D2400B" w:rsidRPr="004809AF" w:rsidRDefault="00D2400B" w:rsidP="003206AB">
            <w:pPr>
              <w:spacing w:beforeLines="40" w:before="96" w:after="0"/>
              <w:jc w:val="center"/>
            </w:pPr>
            <w:r w:rsidRPr="004809AF">
              <w:rPr>
                <w:color w:val="000000"/>
              </w:rPr>
              <w:t>13</w:t>
            </w:r>
          </w:p>
        </w:tc>
        <w:tc>
          <w:tcPr>
            <w:tcW w:w="1985" w:type="dxa"/>
          </w:tcPr>
          <w:p w:rsidR="00D2400B" w:rsidRPr="004809AF" w:rsidRDefault="00D2400B" w:rsidP="003206AB">
            <w:pPr>
              <w:spacing w:beforeLines="40" w:before="96" w:after="0"/>
              <w:jc w:val="right"/>
            </w:pPr>
            <w:r w:rsidRPr="004809AF">
              <w:rPr>
                <w:color w:val="000000"/>
              </w:rPr>
              <w:t>7,223,916</w:t>
            </w:r>
          </w:p>
        </w:tc>
        <w:tc>
          <w:tcPr>
            <w:tcW w:w="1701" w:type="dxa"/>
          </w:tcPr>
          <w:p w:rsidR="00D2400B" w:rsidRPr="004809AF" w:rsidRDefault="00D2400B" w:rsidP="003206AB">
            <w:pPr>
              <w:spacing w:beforeLines="40" w:before="96" w:after="0"/>
              <w:jc w:val="right"/>
            </w:pPr>
            <w:r w:rsidRPr="004809AF">
              <w:rPr>
                <w:color w:val="000000"/>
              </w:rPr>
              <w:t>7,741,285</w:t>
            </w:r>
          </w:p>
        </w:tc>
      </w:tr>
      <w:tr w:rsidR="00D2400B" w:rsidRPr="00985BEA" w:rsidTr="000234B1">
        <w:trPr>
          <w:cantSplit/>
          <w:jc w:val="center"/>
        </w:trPr>
        <w:tc>
          <w:tcPr>
            <w:tcW w:w="3557" w:type="dxa"/>
          </w:tcPr>
          <w:p w:rsidR="00D2400B" w:rsidRPr="0044141E" w:rsidRDefault="00D2400B" w:rsidP="003206AB">
            <w:pPr>
              <w:spacing w:beforeLines="40" w:before="96" w:after="0"/>
              <w:rPr>
                <w:b/>
              </w:rPr>
            </w:pPr>
            <w:r w:rsidRPr="0044141E">
              <w:rPr>
                <w:b/>
                <w:bCs/>
                <w:color w:val="000000"/>
              </w:rPr>
              <w:t>Total Equity</w:t>
            </w:r>
          </w:p>
        </w:tc>
        <w:tc>
          <w:tcPr>
            <w:tcW w:w="1559" w:type="dxa"/>
          </w:tcPr>
          <w:p w:rsidR="00D2400B" w:rsidRPr="004809AF" w:rsidRDefault="00D2400B" w:rsidP="003206AB">
            <w:pPr>
              <w:spacing w:beforeLines="40" w:before="96" w:after="0"/>
              <w:jc w:val="center"/>
            </w:pPr>
          </w:p>
        </w:tc>
        <w:tc>
          <w:tcPr>
            <w:tcW w:w="1985" w:type="dxa"/>
            <w:tcBorders>
              <w:top w:val="single" w:sz="4" w:space="0" w:color="auto"/>
              <w:bottom w:val="double" w:sz="4" w:space="0" w:color="auto"/>
            </w:tcBorders>
          </w:tcPr>
          <w:p w:rsidR="00D2400B" w:rsidRPr="004809AF" w:rsidRDefault="00D2400B" w:rsidP="003206AB">
            <w:pPr>
              <w:spacing w:beforeLines="40" w:before="96" w:after="0"/>
              <w:jc w:val="right"/>
            </w:pPr>
            <w:r w:rsidRPr="004809AF">
              <w:t>7,672,016</w:t>
            </w:r>
          </w:p>
        </w:tc>
        <w:tc>
          <w:tcPr>
            <w:tcW w:w="1701" w:type="dxa"/>
            <w:tcBorders>
              <w:top w:val="single" w:sz="4" w:space="0" w:color="auto"/>
              <w:bottom w:val="double" w:sz="4" w:space="0" w:color="auto"/>
            </w:tcBorders>
          </w:tcPr>
          <w:p w:rsidR="00D2400B" w:rsidRPr="00985BEA" w:rsidRDefault="00D2400B" w:rsidP="003206AB">
            <w:pPr>
              <w:spacing w:beforeLines="40" w:before="96" w:after="0"/>
              <w:jc w:val="right"/>
            </w:pPr>
            <w:r w:rsidRPr="004809AF">
              <w:rPr>
                <w:color w:val="000000"/>
              </w:rPr>
              <w:t>8,189,385</w:t>
            </w:r>
          </w:p>
        </w:tc>
      </w:tr>
    </w:tbl>
    <w:p w:rsidR="00D2400B" w:rsidRDefault="00D2400B" w:rsidP="00712543">
      <w:pPr>
        <w:pStyle w:val="Quote"/>
        <w:spacing w:before="2280"/>
        <w:jc w:val="center"/>
      </w:pPr>
      <w:r w:rsidRPr="00ED4ED0">
        <w:t>The accompanying notes form part of these financial statements</w:t>
      </w:r>
      <w:r>
        <w:br w:type="page"/>
      </w:r>
    </w:p>
    <w:p w:rsidR="00D2400B" w:rsidRPr="003226E6" w:rsidRDefault="00D2400B" w:rsidP="000C5471">
      <w:pPr>
        <w:pStyle w:val="Heading1"/>
        <w:rPr>
          <w:sz w:val="24"/>
          <w:szCs w:val="24"/>
        </w:rPr>
      </w:pPr>
      <w:bookmarkStart w:id="5" w:name="_Toc370126166"/>
      <w:r w:rsidRPr="003226E6">
        <w:lastRenderedPageBreak/>
        <w:t>Statement of Comprehensive Income</w:t>
      </w:r>
      <w:bookmarkEnd w:id="5"/>
    </w:p>
    <w:p w:rsidR="00D2400B" w:rsidRPr="00ED4ED0" w:rsidRDefault="00D2400B" w:rsidP="00515B5E">
      <w:pPr>
        <w:spacing w:after="960"/>
        <w:rPr>
          <w:b/>
          <w:sz w:val="24"/>
          <w:szCs w:val="24"/>
        </w:rPr>
      </w:pPr>
      <w:r w:rsidRPr="00ED4ED0">
        <w:rPr>
          <w:b/>
        </w:rPr>
        <w:t>For the Year ended 30 June 2013</w:t>
      </w:r>
    </w:p>
    <w:tbl>
      <w:tblPr>
        <w:tblStyle w:val="TableGrid"/>
        <w:tblW w:w="91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statement of comprehensive income items"/>
      </w:tblPr>
      <w:tblGrid>
        <w:gridCol w:w="3876"/>
        <w:gridCol w:w="1537"/>
        <w:gridCol w:w="1677"/>
        <w:gridCol w:w="2095"/>
      </w:tblGrid>
      <w:tr w:rsidR="00D2400B" w:rsidRPr="001E59DB" w:rsidTr="003D78CD">
        <w:trPr>
          <w:cnfStyle w:val="100000000000" w:firstRow="1" w:lastRow="0" w:firstColumn="0" w:lastColumn="0" w:oddVBand="0" w:evenVBand="0" w:oddHBand="0" w:evenHBand="0" w:firstRowFirstColumn="0" w:firstRowLastColumn="0" w:lastRowFirstColumn="0" w:lastRowLastColumn="0"/>
          <w:cantSplit/>
          <w:tblHeader/>
          <w:jc w:val="center"/>
        </w:trPr>
        <w:tc>
          <w:tcPr>
            <w:tcW w:w="3936" w:type="dxa"/>
          </w:tcPr>
          <w:p w:rsidR="00D2400B" w:rsidRPr="001E59DB" w:rsidRDefault="00ED4ED0" w:rsidP="00ED4ED0">
            <w:r>
              <w:t>Item</w:t>
            </w:r>
            <w:r w:rsidR="0083231D">
              <w:br/>
            </w:r>
          </w:p>
        </w:tc>
        <w:tc>
          <w:tcPr>
            <w:tcW w:w="1559" w:type="dxa"/>
          </w:tcPr>
          <w:p w:rsidR="00D2400B" w:rsidRPr="001E59DB" w:rsidRDefault="00D2400B" w:rsidP="003206AB">
            <w:pPr>
              <w:jc w:val="center"/>
            </w:pPr>
            <w:r>
              <w:t>Note</w:t>
            </w:r>
          </w:p>
        </w:tc>
        <w:tc>
          <w:tcPr>
            <w:tcW w:w="1701" w:type="dxa"/>
          </w:tcPr>
          <w:p w:rsidR="00D2400B" w:rsidRPr="001E59DB" w:rsidRDefault="00D2400B" w:rsidP="003206AB">
            <w:pPr>
              <w:jc w:val="right"/>
            </w:pPr>
            <w:r>
              <w:rPr>
                <w:color w:val="000000"/>
              </w:rPr>
              <w:t>2013</w:t>
            </w:r>
            <w:r w:rsidR="00ED4ED0">
              <w:rPr>
                <w:color w:val="000000"/>
              </w:rPr>
              <w:br/>
              <w:t>$</w:t>
            </w:r>
          </w:p>
        </w:tc>
        <w:tc>
          <w:tcPr>
            <w:tcW w:w="2126" w:type="dxa"/>
          </w:tcPr>
          <w:p w:rsidR="00D2400B" w:rsidRPr="001E59DB" w:rsidRDefault="00D2400B" w:rsidP="003206AB">
            <w:pPr>
              <w:jc w:val="right"/>
            </w:pPr>
            <w:r>
              <w:rPr>
                <w:color w:val="000000"/>
              </w:rPr>
              <w:t>2012</w:t>
            </w:r>
            <w:r w:rsidR="00ED4ED0">
              <w:rPr>
                <w:color w:val="000000"/>
              </w:rPr>
              <w:br/>
              <w:t>$</w:t>
            </w:r>
          </w:p>
        </w:tc>
      </w:tr>
      <w:tr w:rsidR="00D2400B" w:rsidRPr="001E59DB" w:rsidTr="003D78CD">
        <w:trPr>
          <w:cantSplit/>
          <w:jc w:val="center"/>
        </w:trPr>
        <w:tc>
          <w:tcPr>
            <w:tcW w:w="3936" w:type="dxa"/>
          </w:tcPr>
          <w:p w:rsidR="00D2400B" w:rsidRPr="001E59DB" w:rsidRDefault="00D2400B" w:rsidP="00ED4ED0">
            <w:r w:rsidRPr="001E59DB">
              <w:rPr>
                <w:color w:val="000000"/>
              </w:rPr>
              <w:t>Revenue from government and other grants</w:t>
            </w:r>
          </w:p>
        </w:tc>
        <w:tc>
          <w:tcPr>
            <w:tcW w:w="1559" w:type="dxa"/>
          </w:tcPr>
          <w:p w:rsidR="00D2400B" w:rsidRPr="001E59DB" w:rsidRDefault="00D2400B" w:rsidP="003206AB">
            <w:pPr>
              <w:jc w:val="center"/>
            </w:pPr>
          </w:p>
        </w:tc>
        <w:tc>
          <w:tcPr>
            <w:tcW w:w="1701" w:type="dxa"/>
          </w:tcPr>
          <w:p w:rsidR="00D2400B" w:rsidRPr="001E59DB" w:rsidRDefault="00D2400B" w:rsidP="003206AB">
            <w:pPr>
              <w:jc w:val="right"/>
            </w:pPr>
            <w:r>
              <w:rPr>
                <w:color w:val="000000"/>
              </w:rPr>
              <w:t>212,080</w:t>
            </w:r>
          </w:p>
        </w:tc>
        <w:tc>
          <w:tcPr>
            <w:tcW w:w="2126" w:type="dxa"/>
          </w:tcPr>
          <w:p w:rsidR="00D2400B" w:rsidRPr="001E59DB" w:rsidRDefault="00D2400B" w:rsidP="003206AB">
            <w:pPr>
              <w:jc w:val="right"/>
            </w:pPr>
            <w:r w:rsidRPr="001E59DB">
              <w:rPr>
                <w:color w:val="000000"/>
              </w:rPr>
              <w:t>135,352</w:t>
            </w:r>
          </w:p>
        </w:tc>
      </w:tr>
      <w:tr w:rsidR="00D2400B" w:rsidRPr="001E59DB" w:rsidTr="003D78CD">
        <w:trPr>
          <w:cantSplit/>
          <w:jc w:val="center"/>
        </w:trPr>
        <w:tc>
          <w:tcPr>
            <w:tcW w:w="3936" w:type="dxa"/>
          </w:tcPr>
          <w:p w:rsidR="00D2400B" w:rsidRPr="001E59DB" w:rsidRDefault="00D2400B" w:rsidP="00ED4ED0">
            <w:pPr>
              <w:rPr>
                <w:color w:val="000000"/>
              </w:rPr>
            </w:pPr>
            <w:r w:rsidRPr="001E59DB">
              <w:rPr>
                <w:color w:val="000000"/>
              </w:rPr>
              <w:t>Other Revenue</w:t>
            </w:r>
          </w:p>
        </w:tc>
        <w:tc>
          <w:tcPr>
            <w:tcW w:w="1559" w:type="dxa"/>
          </w:tcPr>
          <w:p w:rsidR="00D2400B" w:rsidRPr="001E59DB" w:rsidRDefault="00D2400B" w:rsidP="003206AB">
            <w:pPr>
              <w:jc w:val="center"/>
            </w:pPr>
            <w:r w:rsidRPr="001E59DB">
              <w:rPr>
                <w:color w:val="000000"/>
              </w:rPr>
              <w:t>2</w:t>
            </w:r>
          </w:p>
        </w:tc>
        <w:tc>
          <w:tcPr>
            <w:tcW w:w="1701" w:type="dxa"/>
          </w:tcPr>
          <w:p w:rsidR="00D2400B" w:rsidRPr="001E59DB" w:rsidRDefault="00D2400B" w:rsidP="003206AB">
            <w:pPr>
              <w:jc w:val="right"/>
            </w:pPr>
            <w:r>
              <w:rPr>
                <w:color w:val="000000"/>
              </w:rPr>
              <w:t>156,150</w:t>
            </w:r>
          </w:p>
        </w:tc>
        <w:tc>
          <w:tcPr>
            <w:tcW w:w="2126" w:type="dxa"/>
          </w:tcPr>
          <w:p w:rsidR="00D2400B" w:rsidRPr="00B03946" w:rsidRDefault="00D2400B" w:rsidP="003206AB">
            <w:pPr>
              <w:jc w:val="right"/>
              <w:rPr>
                <w:color w:val="000000"/>
              </w:rPr>
            </w:pPr>
            <w:r w:rsidRPr="001E59DB">
              <w:rPr>
                <w:color w:val="000000"/>
              </w:rPr>
              <w:t>193,265</w:t>
            </w:r>
          </w:p>
        </w:tc>
      </w:tr>
      <w:tr w:rsidR="00D2400B" w:rsidRPr="001E59DB" w:rsidTr="003D78CD">
        <w:trPr>
          <w:cantSplit/>
          <w:jc w:val="center"/>
        </w:trPr>
        <w:tc>
          <w:tcPr>
            <w:tcW w:w="3936" w:type="dxa"/>
          </w:tcPr>
          <w:p w:rsidR="00D2400B" w:rsidRPr="001E59DB" w:rsidRDefault="00D2400B" w:rsidP="00ED4ED0">
            <w:r w:rsidRPr="001E59DB">
              <w:rPr>
                <w:color w:val="000000"/>
              </w:rPr>
              <w:t>Depreciation and amortisation</w:t>
            </w:r>
          </w:p>
        </w:tc>
        <w:tc>
          <w:tcPr>
            <w:tcW w:w="1559" w:type="dxa"/>
          </w:tcPr>
          <w:p w:rsidR="00D2400B" w:rsidRPr="001E59DB" w:rsidRDefault="00D2400B" w:rsidP="003206AB">
            <w:pPr>
              <w:jc w:val="center"/>
            </w:pPr>
          </w:p>
        </w:tc>
        <w:tc>
          <w:tcPr>
            <w:tcW w:w="1701" w:type="dxa"/>
          </w:tcPr>
          <w:p w:rsidR="00D2400B" w:rsidRPr="001E59DB" w:rsidRDefault="00D2400B" w:rsidP="003206AB">
            <w:pPr>
              <w:jc w:val="right"/>
            </w:pPr>
            <w:r w:rsidRPr="001E59DB">
              <w:t>(</w:t>
            </w:r>
            <w:r>
              <w:rPr>
                <w:color w:val="000000"/>
              </w:rPr>
              <w:t>121,581</w:t>
            </w:r>
            <w:r w:rsidRPr="001E59DB">
              <w:rPr>
                <w:color w:val="000000"/>
              </w:rPr>
              <w:t>)</w:t>
            </w:r>
          </w:p>
        </w:tc>
        <w:tc>
          <w:tcPr>
            <w:tcW w:w="2126" w:type="dxa"/>
          </w:tcPr>
          <w:p w:rsidR="00D2400B" w:rsidRPr="001E59DB" w:rsidRDefault="00D2400B" w:rsidP="003206AB">
            <w:pPr>
              <w:jc w:val="right"/>
            </w:pPr>
            <w:r w:rsidRPr="001E59DB">
              <w:t>(</w:t>
            </w:r>
            <w:r w:rsidRPr="001E59DB">
              <w:rPr>
                <w:color w:val="000000"/>
              </w:rPr>
              <w:t>34,780)</w:t>
            </w:r>
          </w:p>
        </w:tc>
      </w:tr>
      <w:tr w:rsidR="00D2400B" w:rsidRPr="001E59DB" w:rsidTr="003D78CD">
        <w:trPr>
          <w:cantSplit/>
          <w:jc w:val="center"/>
        </w:trPr>
        <w:tc>
          <w:tcPr>
            <w:tcW w:w="3936" w:type="dxa"/>
          </w:tcPr>
          <w:p w:rsidR="00D2400B" w:rsidRPr="001E59DB" w:rsidRDefault="00D2400B" w:rsidP="00ED4ED0">
            <w:pPr>
              <w:rPr>
                <w:color w:val="000000"/>
              </w:rPr>
            </w:pPr>
            <w:r w:rsidRPr="001E59DB">
              <w:rPr>
                <w:color w:val="000000"/>
              </w:rPr>
              <w:t>Employee Expense</w:t>
            </w:r>
          </w:p>
        </w:tc>
        <w:tc>
          <w:tcPr>
            <w:tcW w:w="1559" w:type="dxa"/>
          </w:tcPr>
          <w:p w:rsidR="00D2400B" w:rsidRPr="001E59DB" w:rsidRDefault="00D2400B" w:rsidP="003206AB">
            <w:pPr>
              <w:jc w:val="center"/>
              <w:rPr>
                <w:color w:val="000000"/>
              </w:rPr>
            </w:pPr>
            <w:r w:rsidRPr="001E59DB">
              <w:rPr>
                <w:color w:val="000000"/>
              </w:rPr>
              <w:t>4</w:t>
            </w:r>
          </w:p>
        </w:tc>
        <w:tc>
          <w:tcPr>
            <w:tcW w:w="1701" w:type="dxa"/>
          </w:tcPr>
          <w:p w:rsidR="00D2400B" w:rsidRPr="001E59DB" w:rsidRDefault="00D2400B" w:rsidP="003206AB">
            <w:pPr>
              <w:jc w:val="right"/>
            </w:pPr>
            <w:r>
              <w:rPr>
                <w:color w:val="000000"/>
              </w:rPr>
              <w:t>(1,290,316</w:t>
            </w:r>
            <w:r w:rsidRPr="001E59DB">
              <w:rPr>
                <w:color w:val="000000"/>
              </w:rPr>
              <w:t>)</w:t>
            </w:r>
          </w:p>
        </w:tc>
        <w:tc>
          <w:tcPr>
            <w:tcW w:w="2126" w:type="dxa"/>
          </w:tcPr>
          <w:p w:rsidR="00D2400B" w:rsidRPr="001E59DB" w:rsidRDefault="00D2400B" w:rsidP="003206AB">
            <w:pPr>
              <w:jc w:val="right"/>
            </w:pPr>
            <w:r w:rsidRPr="001E59DB">
              <w:t>(</w:t>
            </w:r>
            <w:r w:rsidRPr="001E59DB">
              <w:rPr>
                <w:color w:val="000000"/>
              </w:rPr>
              <w:t>1,086,735)</w:t>
            </w:r>
          </w:p>
        </w:tc>
      </w:tr>
      <w:tr w:rsidR="00D2400B" w:rsidRPr="001E59DB" w:rsidTr="003D78CD">
        <w:trPr>
          <w:cantSplit/>
          <w:jc w:val="center"/>
        </w:trPr>
        <w:tc>
          <w:tcPr>
            <w:tcW w:w="3936" w:type="dxa"/>
          </w:tcPr>
          <w:p w:rsidR="00D2400B" w:rsidRPr="001E59DB" w:rsidRDefault="00D2400B" w:rsidP="00ED4ED0">
            <w:r w:rsidRPr="001E59DB">
              <w:rPr>
                <w:color w:val="000000"/>
              </w:rPr>
              <w:t>Leased premises expenses</w:t>
            </w:r>
          </w:p>
        </w:tc>
        <w:tc>
          <w:tcPr>
            <w:tcW w:w="1559" w:type="dxa"/>
          </w:tcPr>
          <w:p w:rsidR="00D2400B" w:rsidRPr="001E59DB" w:rsidRDefault="00D2400B" w:rsidP="003206AB">
            <w:pPr>
              <w:jc w:val="center"/>
            </w:pPr>
          </w:p>
        </w:tc>
        <w:tc>
          <w:tcPr>
            <w:tcW w:w="1701" w:type="dxa"/>
          </w:tcPr>
          <w:p w:rsidR="00D2400B" w:rsidRPr="001E59DB" w:rsidRDefault="00D2400B" w:rsidP="003206AB">
            <w:pPr>
              <w:jc w:val="right"/>
            </w:pPr>
            <w:r w:rsidRPr="001E59DB">
              <w:t>(</w:t>
            </w:r>
            <w:r>
              <w:rPr>
                <w:color w:val="000000"/>
              </w:rPr>
              <w:t>123,656</w:t>
            </w:r>
            <w:r w:rsidRPr="001E59DB">
              <w:rPr>
                <w:color w:val="000000"/>
              </w:rPr>
              <w:t>)</w:t>
            </w:r>
          </w:p>
        </w:tc>
        <w:tc>
          <w:tcPr>
            <w:tcW w:w="2126" w:type="dxa"/>
          </w:tcPr>
          <w:p w:rsidR="00D2400B" w:rsidRPr="001E59DB" w:rsidRDefault="00D2400B" w:rsidP="003206AB">
            <w:pPr>
              <w:jc w:val="right"/>
            </w:pPr>
            <w:r w:rsidRPr="001E59DB">
              <w:t>(</w:t>
            </w:r>
            <w:r w:rsidRPr="001E59DB">
              <w:rPr>
                <w:color w:val="000000"/>
              </w:rPr>
              <w:t>103,913)</w:t>
            </w:r>
          </w:p>
        </w:tc>
      </w:tr>
      <w:tr w:rsidR="00D2400B" w:rsidRPr="001E59DB" w:rsidTr="003D78CD">
        <w:trPr>
          <w:cantSplit/>
          <w:jc w:val="center"/>
        </w:trPr>
        <w:tc>
          <w:tcPr>
            <w:tcW w:w="3936" w:type="dxa"/>
          </w:tcPr>
          <w:p w:rsidR="00D2400B" w:rsidRPr="001E59DB" w:rsidRDefault="00D2400B" w:rsidP="00ED4ED0">
            <w:r w:rsidRPr="001E59DB">
              <w:rPr>
                <w:color w:val="000000"/>
              </w:rPr>
              <w:t>Production, cinema and captioning expenses</w:t>
            </w:r>
          </w:p>
        </w:tc>
        <w:tc>
          <w:tcPr>
            <w:tcW w:w="1559" w:type="dxa"/>
          </w:tcPr>
          <w:p w:rsidR="00D2400B" w:rsidRPr="001E59DB" w:rsidRDefault="00D2400B" w:rsidP="003206AB">
            <w:pPr>
              <w:jc w:val="center"/>
            </w:pPr>
          </w:p>
        </w:tc>
        <w:tc>
          <w:tcPr>
            <w:tcW w:w="1701" w:type="dxa"/>
          </w:tcPr>
          <w:p w:rsidR="00D2400B" w:rsidRPr="001E59DB" w:rsidRDefault="00D2400B" w:rsidP="003206AB">
            <w:pPr>
              <w:jc w:val="right"/>
            </w:pPr>
            <w:r w:rsidRPr="001E59DB">
              <w:t>(</w:t>
            </w:r>
            <w:r>
              <w:rPr>
                <w:color w:val="000000"/>
              </w:rPr>
              <w:t>97,122</w:t>
            </w:r>
            <w:r w:rsidRPr="001E59DB">
              <w:rPr>
                <w:color w:val="000000"/>
              </w:rPr>
              <w:t>)</w:t>
            </w:r>
          </w:p>
        </w:tc>
        <w:tc>
          <w:tcPr>
            <w:tcW w:w="2126" w:type="dxa"/>
          </w:tcPr>
          <w:p w:rsidR="00D2400B" w:rsidRPr="001E59DB" w:rsidRDefault="00D2400B" w:rsidP="003206AB">
            <w:pPr>
              <w:jc w:val="right"/>
            </w:pPr>
            <w:r w:rsidRPr="001E59DB">
              <w:t>(</w:t>
            </w:r>
            <w:r w:rsidRPr="001E59DB">
              <w:rPr>
                <w:color w:val="000000"/>
              </w:rPr>
              <w:t>255,097)</w:t>
            </w:r>
          </w:p>
        </w:tc>
      </w:tr>
      <w:tr w:rsidR="00D2400B" w:rsidRPr="001E59DB" w:rsidTr="003D78CD">
        <w:trPr>
          <w:cantSplit/>
          <w:jc w:val="center"/>
        </w:trPr>
        <w:tc>
          <w:tcPr>
            <w:tcW w:w="3936" w:type="dxa"/>
          </w:tcPr>
          <w:p w:rsidR="00D2400B" w:rsidRPr="001E59DB" w:rsidRDefault="00D2400B" w:rsidP="00ED4ED0">
            <w:r w:rsidRPr="001E59DB">
              <w:rPr>
                <w:color w:val="000000"/>
              </w:rPr>
              <w:t>Travelling Expenses</w:t>
            </w:r>
          </w:p>
        </w:tc>
        <w:tc>
          <w:tcPr>
            <w:tcW w:w="1559" w:type="dxa"/>
          </w:tcPr>
          <w:p w:rsidR="00D2400B" w:rsidRPr="001E59DB" w:rsidRDefault="00D2400B" w:rsidP="003206AB">
            <w:pPr>
              <w:jc w:val="center"/>
            </w:pPr>
          </w:p>
        </w:tc>
        <w:tc>
          <w:tcPr>
            <w:tcW w:w="1701" w:type="dxa"/>
          </w:tcPr>
          <w:p w:rsidR="00D2400B" w:rsidRPr="001E59DB" w:rsidRDefault="00D2400B" w:rsidP="003206AB">
            <w:pPr>
              <w:jc w:val="right"/>
            </w:pPr>
            <w:r w:rsidRPr="001E59DB">
              <w:t>(</w:t>
            </w:r>
            <w:r>
              <w:rPr>
                <w:color w:val="000000"/>
              </w:rPr>
              <w:t>32,204</w:t>
            </w:r>
            <w:r w:rsidRPr="001E59DB">
              <w:rPr>
                <w:color w:val="000000"/>
              </w:rPr>
              <w:t>)</w:t>
            </w:r>
          </w:p>
        </w:tc>
        <w:tc>
          <w:tcPr>
            <w:tcW w:w="2126" w:type="dxa"/>
          </w:tcPr>
          <w:p w:rsidR="00D2400B" w:rsidRPr="001E59DB" w:rsidRDefault="00D2400B" w:rsidP="003206AB">
            <w:pPr>
              <w:jc w:val="right"/>
              <w:rPr>
                <w:color w:val="000000"/>
              </w:rPr>
            </w:pPr>
            <w:r w:rsidRPr="001E59DB">
              <w:t>(</w:t>
            </w:r>
            <w:r w:rsidRPr="001E59DB">
              <w:rPr>
                <w:color w:val="000000"/>
              </w:rPr>
              <w:t>45,054)</w:t>
            </w:r>
          </w:p>
        </w:tc>
      </w:tr>
      <w:tr w:rsidR="00D2400B" w:rsidRPr="001E59DB" w:rsidTr="003D78CD">
        <w:trPr>
          <w:cantSplit/>
          <w:jc w:val="center"/>
        </w:trPr>
        <w:tc>
          <w:tcPr>
            <w:tcW w:w="3936" w:type="dxa"/>
          </w:tcPr>
          <w:p w:rsidR="00D2400B" w:rsidRPr="001E59DB" w:rsidRDefault="00D2400B" w:rsidP="00ED4ED0">
            <w:pPr>
              <w:rPr>
                <w:color w:val="000000"/>
              </w:rPr>
            </w:pPr>
            <w:r w:rsidRPr="001E59DB">
              <w:rPr>
                <w:color w:val="000000"/>
              </w:rPr>
              <w:t>Other Expenses</w:t>
            </w:r>
          </w:p>
        </w:tc>
        <w:tc>
          <w:tcPr>
            <w:tcW w:w="1559" w:type="dxa"/>
          </w:tcPr>
          <w:p w:rsidR="00D2400B" w:rsidRPr="001E59DB" w:rsidRDefault="00D2400B" w:rsidP="003206AB">
            <w:pPr>
              <w:jc w:val="center"/>
              <w:rPr>
                <w:color w:val="000000"/>
              </w:rPr>
            </w:pPr>
          </w:p>
        </w:tc>
        <w:tc>
          <w:tcPr>
            <w:tcW w:w="1701" w:type="dxa"/>
            <w:tcBorders>
              <w:bottom w:val="single" w:sz="4" w:space="0" w:color="auto"/>
            </w:tcBorders>
          </w:tcPr>
          <w:p w:rsidR="00D2400B" w:rsidRPr="001E59DB" w:rsidRDefault="00D2400B" w:rsidP="003206AB">
            <w:pPr>
              <w:jc w:val="right"/>
              <w:rPr>
                <w:color w:val="000000"/>
              </w:rPr>
            </w:pPr>
            <w:r w:rsidRPr="001E59DB">
              <w:rPr>
                <w:color w:val="000000"/>
              </w:rPr>
              <w:t>(</w:t>
            </w:r>
            <w:r>
              <w:rPr>
                <w:color w:val="000000"/>
              </w:rPr>
              <w:t>569,301</w:t>
            </w:r>
            <w:r w:rsidRPr="001E59DB">
              <w:rPr>
                <w:color w:val="000000"/>
              </w:rPr>
              <w:t>)</w:t>
            </w:r>
          </w:p>
        </w:tc>
        <w:tc>
          <w:tcPr>
            <w:tcW w:w="2126" w:type="dxa"/>
            <w:tcBorders>
              <w:bottom w:val="single" w:sz="4" w:space="0" w:color="auto"/>
            </w:tcBorders>
          </w:tcPr>
          <w:p w:rsidR="00D2400B" w:rsidRPr="001E59DB" w:rsidRDefault="00D2400B" w:rsidP="003206AB">
            <w:pPr>
              <w:jc w:val="right"/>
            </w:pPr>
            <w:r w:rsidRPr="001E59DB">
              <w:rPr>
                <w:color w:val="000000"/>
              </w:rPr>
              <w:t>(466,041)</w:t>
            </w:r>
          </w:p>
        </w:tc>
      </w:tr>
      <w:tr w:rsidR="00D2400B" w:rsidRPr="001E59DB" w:rsidTr="003D78CD">
        <w:trPr>
          <w:cantSplit/>
          <w:jc w:val="center"/>
        </w:trPr>
        <w:tc>
          <w:tcPr>
            <w:tcW w:w="3936" w:type="dxa"/>
          </w:tcPr>
          <w:p w:rsidR="00D2400B" w:rsidRPr="0044141E" w:rsidRDefault="00D2400B" w:rsidP="00ED4ED0">
            <w:pPr>
              <w:rPr>
                <w:b/>
              </w:rPr>
            </w:pPr>
            <w:r w:rsidRPr="0044141E">
              <w:rPr>
                <w:b/>
              </w:rPr>
              <w:t>Profit/ (Loss) before net financial income</w:t>
            </w:r>
          </w:p>
        </w:tc>
        <w:tc>
          <w:tcPr>
            <w:tcW w:w="1559" w:type="dxa"/>
          </w:tcPr>
          <w:p w:rsidR="00D2400B" w:rsidRPr="001E59DB" w:rsidRDefault="00D2400B" w:rsidP="003206AB">
            <w:pPr>
              <w:jc w:val="center"/>
            </w:pPr>
          </w:p>
        </w:tc>
        <w:tc>
          <w:tcPr>
            <w:tcW w:w="1701" w:type="dxa"/>
            <w:tcBorders>
              <w:top w:val="single" w:sz="4" w:space="0" w:color="auto"/>
            </w:tcBorders>
          </w:tcPr>
          <w:p w:rsidR="00D2400B" w:rsidRPr="001E59DB" w:rsidRDefault="00D2400B" w:rsidP="003206AB">
            <w:pPr>
              <w:jc w:val="right"/>
            </w:pPr>
            <w:r w:rsidRPr="001E59DB">
              <w:t>(</w:t>
            </w:r>
            <w:r>
              <w:rPr>
                <w:color w:val="000000"/>
              </w:rPr>
              <w:t>1,865,950</w:t>
            </w:r>
            <w:r w:rsidRPr="001E59DB">
              <w:rPr>
                <w:color w:val="000000"/>
              </w:rPr>
              <w:t>)</w:t>
            </w:r>
          </w:p>
        </w:tc>
        <w:tc>
          <w:tcPr>
            <w:tcW w:w="2126" w:type="dxa"/>
            <w:tcBorders>
              <w:top w:val="single" w:sz="4" w:space="0" w:color="auto"/>
            </w:tcBorders>
          </w:tcPr>
          <w:p w:rsidR="00D2400B" w:rsidRPr="001E59DB" w:rsidRDefault="00D2400B" w:rsidP="003206AB">
            <w:pPr>
              <w:jc w:val="right"/>
            </w:pPr>
            <w:r w:rsidRPr="001E59DB">
              <w:t>(</w:t>
            </w:r>
            <w:r w:rsidRPr="001E59DB">
              <w:rPr>
                <w:color w:val="000000"/>
              </w:rPr>
              <w:t>1,663,003)</w:t>
            </w:r>
          </w:p>
        </w:tc>
      </w:tr>
      <w:tr w:rsidR="00D2400B" w:rsidRPr="001E59DB" w:rsidTr="003D78CD">
        <w:trPr>
          <w:cantSplit/>
          <w:jc w:val="center"/>
        </w:trPr>
        <w:tc>
          <w:tcPr>
            <w:tcW w:w="3936" w:type="dxa"/>
          </w:tcPr>
          <w:p w:rsidR="00D2400B" w:rsidRPr="001E59DB" w:rsidRDefault="00D2400B" w:rsidP="00ED4ED0">
            <w:r w:rsidRPr="001E59DB">
              <w:t>Net financial Income (expense)</w:t>
            </w:r>
          </w:p>
        </w:tc>
        <w:tc>
          <w:tcPr>
            <w:tcW w:w="1559" w:type="dxa"/>
          </w:tcPr>
          <w:p w:rsidR="00D2400B" w:rsidRPr="001E59DB" w:rsidRDefault="00D2400B" w:rsidP="003206AB">
            <w:pPr>
              <w:jc w:val="center"/>
            </w:pPr>
            <w:r w:rsidRPr="001E59DB">
              <w:t>3</w:t>
            </w:r>
          </w:p>
        </w:tc>
        <w:tc>
          <w:tcPr>
            <w:tcW w:w="1701" w:type="dxa"/>
            <w:tcBorders>
              <w:bottom w:val="single" w:sz="4" w:space="0" w:color="auto"/>
            </w:tcBorders>
          </w:tcPr>
          <w:p w:rsidR="00D2400B" w:rsidRPr="001E59DB" w:rsidRDefault="00D2400B" w:rsidP="003206AB">
            <w:pPr>
              <w:jc w:val="right"/>
            </w:pPr>
            <w:r>
              <w:rPr>
                <w:color w:val="000000"/>
              </w:rPr>
              <w:t>1,348,580</w:t>
            </w:r>
          </w:p>
        </w:tc>
        <w:tc>
          <w:tcPr>
            <w:tcW w:w="2126" w:type="dxa"/>
            <w:tcBorders>
              <w:bottom w:val="single" w:sz="4" w:space="0" w:color="auto"/>
            </w:tcBorders>
          </w:tcPr>
          <w:p w:rsidR="00D2400B" w:rsidRPr="001E59DB" w:rsidRDefault="00D2400B" w:rsidP="003206AB">
            <w:pPr>
              <w:jc w:val="right"/>
            </w:pPr>
            <w:r w:rsidRPr="001E59DB">
              <w:t>458,750</w:t>
            </w:r>
          </w:p>
        </w:tc>
      </w:tr>
      <w:tr w:rsidR="00D2400B" w:rsidRPr="001E59DB" w:rsidTr="003D78CD">
        <w:trPr>
          <w:cantSplit/>
          <w:jc w:val="center"/>
        </w:trPr>
        <w:tc>
          <w:tcPr>
            <w:tcW w:w="3936" w:type="dxa"/>
          </w:tcPr>
          <w:p w:rsidR="00D2400B" w:rsidRPr="0044141E" w:rsidRDefault="00D2400B" w:rsidP="00ED4ED0">
            <w:pPr>
              <w:rPr>
                <w:b/>
              </w:rPr>
            </w:pPr>
            <w:r w:rsidRPr="0044141E">
              <w:rPr>
                <w:b/>
              </w:rPr>
              <w:t>Profit/ (Loss) before income tax</w:t>
            </w:r>
          </w:p>
        </w:tc>
        <w:tc>
          <w:tcPr>
            <w:tcW w:w="1559" w:type="dxa"/>
          </w:tcPr>
          <w:p w:rsidR="00D2400B" w:rsidRPr="001E59DB" w:rsidRDefault="00D2400B" w:rsidP="003206AB">
            <w:pPr>
              <w:jc w:val="center"/>
            </w:pPr>
          </w:p>
        </w:tc>
        <w:tc>
          <w:tcPr>
            <w:tcW w:w="1701" w:type="dxa"/>
            <w:tcBorders>
              <w:top w:val="single" w:sz="4" w:space="0" w:color="auto"/>
            </w:tcBorders>
          </w:tcPr>
          <w:p w:rsidR="00D2400B" w:rsidRPr="001E59DB" w:rsidRDefault="00D2400B" w:rsidP="003206AB">
            <w:pPr>
              <w:jc w:val="right"/>
            </w:pPr>
            <w:r w:rsidRPr="001E59DB">
              <w:rPr>
                <w:color w:val="000000"/>
              </w:rPr>
              <w:t>(</w:t>
            </w:r>
            <w:r>
              <w:rPr>
                <w:color w:val="000000"/>
              </w:rPr>
              <w:t>517,370</w:t>
            </w:r>
            <w:r w:rsidRPr="001E59DB">
              <w:rPr>
                <w:color w:val="000000"/>
              </w:rPr>
              <w:t>)</w:t>
            </w:r>
          </w:p>
        </w:tc>
        <w:tc>
          <w:tcPr>
            <w:tcW w:w="2126" w:type="dxa"/>
            <w:tcBorders>
              <w:top w:val="single" w:sz="4" w:space="0" w:color="auto"/>
            </w:tcBorders>
          </w:tcPr>
          <w:p w:rsidR="00D2400B" w:rsidRPr="001E59DB" w:rsidRDefault="00D2400B" w:rsidP="003206AB">
            <w:pPr>
              <w:jc w:val="right"/>
              <w:rPr>
                <w:color w:val="000000"/>
              </w:rPr>
            </w:pPr>
            <w:r w:rsidRPr="001E59DB">
              <w:rPr>
                <w:color w:val="000000"/>
              </w:rPr>
              <w:t>(1,204,253)</w:t>
            </w:r>
          </w:p>
        </w:tc>
      </w:tr>
      <w:tr w:rsidR="00D2400B" w:rsidRPr="001E59DB" w:rsidTr="00F42C98">
        <w:trPr>
          <w:cantSplit/>
          <w:jc w:val="center"/>
        </w:trPr>
        <w:tc>
          <w:tcPr>
            <w:tcW w:w="3936" w:type="dxa"/>
          </w:tcPr>
          <w:p w:rsidR="00D2400B" w:rsidRPr="001E59DB" w:rsidRDefault="00D2400B" w:rsidP="00ED4ED0">
            <w:pPr>
              <w:rPr>
                <w:color w:val="000000"/>
              </w:rPr>
            </w:pPr>
            <w:r w:rsidRPr="001E59DB">
              <w:rPr>
                <w:color w:val="000000"/>
              </w:rPr>
              <w:t>Income tax expense</w:t>
            </w:r>
          </w:p>
        </w:tc>
        <w:tc>
          <w:tcPr>
            <w:tcW w:w="1559" w:type="dxa"/>
          </w:tcPr>
          <w:p w:rsidR="00D2400B" w:rsidRPr="001E59DB" w:rsidRDefault="00D2400B" w:rsidP="003206AB">
            <w:pPr>
              <w:jc w:val="center"/>
              <w:rPr>
                <w:color w:val="000000"/>
              </w:rPr>
            </w:pPr>
          </w:p>
        </w:tc>
        <w:tc>
          <w:tcPr>
            <w:tcW w:w="1701" w:type="dxa"/>
            <w:tcBorders>
              <w:bottom w:val="single" w:sz="4" w:space="0" w:color="auto"/>
            </w:tcBorders>
          </w:tcPr>
          <w:p w:rsidR="00D2400B" w:rsidRPr="001E59DB" w:rsidRDefault="00D2400B" w:rsidP="003206AB">
            <w:pPr>
              <w:jc w:val="right"/>
              <w:rPr>
                <w:color w:val="000000"/>
              </w:rPr>
            </w:pPr>
            <w:r w:rsidRPr="001E59DB">
              <w:rPr>
                <w:color w:val="000000"/>
              </w:rPr>
              <w:t>-</w:t>
            </w:r>
          </w:p>
        </w:tc>
        <w:tc>
          <w:tcPr>
            <w:tcW w:w="2126" w:type="dxa"/>
            <w:tcBorders>
              <w:bottom w:val="single" w:sz="4" w:space="0" w:color="auto"/>
            </w:tcBorders>
          </w:tcPr>
          <w:p w:rsidR="00D2400B" w:rsidRPr="001E59DB" w:rsidRDefault="00D2400B" w:rsidP="003206AB">
            <w:pPr>
              <w:jc w:val="right"/>
            </w:pPr>
            <w:r w:rsidRPr="001E59DB">
              <w:rPr>
                <w:color w:val="000000"/>
              </w:rPr>
              <w:t>-</w:t>
            </w:r>
          </w:p>
        </w:tc>
      </w:tr>
      <w:tr w:rsidR="00D2400B" w:rsidTr="00F42C98">
        <w:trPr>
          <w:cantSplit/>
          <w:trHeight w:val="87"/>
          <w:jc w:val="center"/>
        </w:trPr>
        <w:tc>
          <w:tcPr>
            <w:tcW w:w="3936" w:type="dxa"/>
          </w:tcPr>
          <w:p w:rsidR="00D2400B" w:rsidRPr="0044141E" w:rsidRDefault="00D2400B" w:rsidP="00ED4ED0">
            <w:pPr>
              <w:rPr>
                <w:b/>
              </w:rPr>
            </w:pPr>
            <w:r w:rsidRPr="0044141E">
              <w:rPr>
                <w:b/>
                <w:bCs/>
                <w:color w:val="000000"/>
              </w:rPr>
              <w:t>Profit/ (Loss) after Income Tax</w:t>
            </w:r>
          </w:p>
        </w:tc>
        <w:tc>
          <w:tcPr>
            <w:tcW w:w="1559" w:type="dxa"/>
          </w:tcPr>
          <w:p w:rsidR="00D2400B" w:rsidRPr="001E59DB" w:rsidRDefault="00D2400B" w:rsidP="003206AB">
            <w:pPr>
              <w:jc w:val="center"/>
            </w:pPr>
          </w:p>
        </w:tc>
        <w:tc>
          <w:tcPr>
            <w:tcW w:w="1701" w:type="dxa"/>
            <w:tcBorders>
              <w:top w:val="single" w:sz="4" w:space="0" w:color="auto"/>
              <w:bottom w:val="double" w:sz="4" w:space="0" w:color="auto"/>
            </w:tcBorders>
          </w:tcPr>
          <w:p w:rsidR="00D2400B" w:rsidRPr="001E59DB" w:rsidRDefault="00D2400B" w:rsidP="00F42C98">
            <w:pPr>
              <w:spacing w:after="60"/>
              <w:jc w:val="right"/>
            </w:pPr>
            <w:r w:rsidRPr="001E59DB">
              <w:rPr>
                <w:color w:val="000000"/>
              </w:rPr>
              <w:t>(</w:t>
            </w:r>
            <w:r>
              <w:rPr>
                <w:color w:val="000000"/>
              </w:rPr>
              <w:t>517,370</w:t>
            </w:r>
            <w:r w:rsidRPr="001E59DB">
              <w:rPr>
                <w:color w:val="000000"/>
              </w:rPr>
              <w:t>)</w:t>
            </w:r>
          </w:p>
        </w:tc>
        <w:tc>
          <w:tcPr>
            <w:tcW w:w="2126" w:type="dxa"/>
            <w:tcBorders>
              <w:top w:val="single" w:sz="4" w:space="0" w:color="auto"/>
              <w:bottom w:val="double" w:sz="4" w:space="0" w:color="auto"/>
            </w:tcBorders>
          </w:tcPr>
          <w:p w:rsidR="00D2400B" w:rsidRDefault="00D2400B" w:rsidP="00F42C98">
            <w:pPr>
              <w:spacing w:after="60"/>
              <w:jc w:val="right"/>
            </w:pPr>
            <w:r w:rsidRPr="001E59DB">
              <w:rPr>
                <w:color w:val="000000"/>
              </w:rPr>
              <w:t>(1,204,253)</w:t>
            </w:r>
          </w:p>
        </w:tc>
      </w:tr>
    </w:tbl>
    <w:p w:rsidR="00D2400B" w:rsidRPr="00ED4ED0" w:rsidRDefault="00D2400B" w:rsidP="00712543">
      <w:pPr>
        <w:pStyle w:val="Quote"/>
        <w:spacing w:before="3960"/>
        <w:jc w:val="center"/>
        <w:sectPr w:rsidR="00D2400B" w:rsidRPr="00ED4ED0" w:rsidSect="00134384">
          <w:footerReference w:type="default" r:id="rId18"/>
          <w:pgSz w:w="11904" w:h="16836"/>
          <w:pgMar w:top="1440" w:right="1440" w:bottom="1440" w:left="1440" w:header="720" w:footer="0" w:gutter="0"/>
          <w:cols w:space="720"/>
          <w:noEndnote/>
          <w:docGrid w:linePitch="299"/>
        </w:sectPr>
      </w:pPr>
      <w:r w:rsidRPr="00ED4ED0">
        <w:t>The accompanying notes form part of these financial statements.</w:t>
      </w:r>
    </w:p>
    <w:p w:rsidR="00D2400B" w:rsidRPr="003226E6" w:rsidRDefault="00D2400B" w:rsidP="000C5471">
      <w:pPr>
        <w:pStyle w:val="Heading1"/>
      </w:pPr>
      <w:bookmarkStart w:id="6" w:name="_Toc370126167"/>
      <w:r w:rsidRPr="003226E6">
        <w:lastRenderedPageBreak/>
        <w:t>Statement of Changes in Equity</w:t>
      </w:r>
      <w:bookmarkEnd w:id="6"/>
    </w:p>
    <w:p w:rsidR="00D2400B" w:rsidRPr="000234B1" w:rsidRDefault="00D2400B" w:rsidP="00D668F9">
      <w:pPr>
        <w:spacing w:after="960"/>
        <w:rPr>
          <w:b/>
        </w:rPr>
      </w:pPr>
      <w:r w:rsidRPr="000234B1">
        <w:rPr>
          <w:b/>
        </w:rPr>
        <w:t>For the Year ended 30 June 2013</w:t>
      </w:r>
    </w:p>
    <w:tbl>
      <w:tblPr>
        <w:tblStyle w:val="TableGrid"/>
        <w:tblW w:w="91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statement of changes in equity items"/>
      </w:tblPr>
      <w:tblGrid>
        <w:gridCol w:w="5580"/>
        <w:gridCol w:w="1685"/>
        <w:gridCol w:w="1920"/>
      </w:tblGrid>
      <w:tr w:rsidR="00D2400B" w:rsidRPr="001E59DB" w:rsidTr="000234B1">
        <w:trPr>
          <w:cnfStyle w:val="100000000000" w:firstRow="1" w:lastRow="0" w:firstColumn="0" w:lastColumn="0" w:oddVBand="0" w:evenVBand="0" w:oddHBand="0" w:evenHBand="0" w:firstRowFirstColumn="0" w:firstRowLastColumn="0" w:lastRowFirstColumn="0" w:lastRowLastColumn="0"/>
          <w:cantSplit/>
          <w:tblHeader/>
          <w:jc w:val="center"/>
        </w:trPr>
        <w:tc>
          <w:tcPr>
            <w:tcW w:w="5637" w:type="dxa"/>
          </w:tcPr>
          <w:p w:rsidR="00D2400B" w:rsidRPr="00C2688A" w:rsidRDefault="00C2688A" w:rsidP="00EA1363">
            <w:pPr>
              <w:jc w:val="both"/>
            </w:pPr>
            <w:r>
              <w:t>Item</w:t>
            </w:r>
          </w:p>
        </w:tc>
        <w:tc>
          <w:tcPr>
            <w:tcW w:w="1701" w:type="dxa"/>
          </w:tcPr>
          <w:p w:rsidR="00D2400B" w:rsidRPr="001E59DB" w:rsidRDefault="00D2400B" w:rsidP="00EA1363">
            <w:pPr>
              <w:jc w:val="right"/>
            </w:pPr>
            <w:r>
              <w:rPr>
                <w:color w:val="000000"/>
              </w:rPr>
              <w:t>2013</w:t>
            </w:r>
            <w:r w:rsidR="00C2688A">
              <w:rPr>
                <w:color w:val="000000"/>
              </w:rPr>
              <w:br/>
              <w:t>$</w:t>
            </w:r>
          </w:p>
        </w:tc>
        <w:tc>
          <w:tcPr>
            <w:tcW w:w="1938" w:type="dxa"/>
          </w:tcPr>
          <w:p w:rsidR="00D2400B" w:rsidRPr="001E59DB" w:rsidRDefault="00D2400B" w:rsidP="00EA1363">
            <w:pPr>
              <w:jc w:val="right"/>
            </w:pPr>
            <w:r>
              <w:rPr>
                <w:color w:val="000000"/>
              </w:rPr>
              <w:t>2012</w:t>
            </w:r>
            <w:r w:rsidR="00C2688A">
              <w:rPr>
                <w:color w:val="000000"/>
              </w:rPr>
              <w:br/>
              <w:t>$</w:t>
            </w:r>
          </w:p>
        </w:tc>
      </w:tr>
      <w:tr w:rsidR="00D2400B" w:rsidRPr="001E59DB" w:rsidTr="000234B1">
        <w:trPr>
          <w:cantSplit/>
          <w:jc w:val="center"/>
        </w:trPr>
        <w:tc>
          <w:tcPr>
            <w:tcW w:w="5637" w:type="dxa"/>
          </w:tcPr>
          <w:p w:rsidR="00D2400B" w:rsidRPr="0044141E" w:rsidRDefault="00D2400B" w:rsidP="00EA1363">
            <w:pPr>
              <w:rPr>
                <w:b/>
              </w:rPr>
            </w:pPr>
            <w:r w:rsidRPr="0044141E">
              <w:rPr>
                <w:b/>
                <w:bCs/>
                <w:color w:val="000000"/>
              </w:rPr>
              <w:t>Opening Balance</w:t>
            </w:r>
          </w:p>
        </w:tc>
        <w:tc>
          <w:tcPr>
            <w:tcW w:w="1701" w:type="dxa"/>
          </w:tcPr>
          <w:p w:rsidR="00D2400B" w:rsidRPr="001E59DB" w:rsidRDefault="00D2400B" w:rsidP="00EA1363">
            <w:pPr>
              <w:jc w:val="right"/>
            </w:pPr>
            <w:r w:rsidRPr="001E59DB">
              <w:rPr>
                <w:color w:val="000000"/>
              </w:rPr>
              <w:t>8,189,385</w:t>
            </w:r>
          </w:p>
        </w:tc>
        <w:tc>
          <w:tcPr>
            <w:tcW w:w="1938" w:type="dxa"/>
          </w:tcPr>
          <w:p w:rsidR="00D2400B" w:rsidRPr="001E59DB" w:rsidRDefault="00D2400B" w:rsidP="00EA1363">
            <w:pPr>
              <w:jc w:val="right"/>
            </w:pPr>
            <w:r w:rsidRPr="001E59DB">
              <w:rPr>
                <w:color w:val="000000"/>
              </w:rPr>
              <w:t>9,393,638</w:t>
            </w:r>
          </w:p>
        </w:tc>
      </w:tr>
      <w:tr w:rsidR="00D2400B" w:rsidRPr="001E59DB" w:rsidTr="000234B1">
        <w:trPr>
          <w:cantSplit/>
          <w:jc w:val="center"/>
        </w:trPr>
        <w:tc>
          <w:tcPr>
            <w:tcW w:w="5637" w:type="dxa"/>
          </w:tcPr>
          <w:p w:rsidR="00D2400B" w:rsidRPr="0044141E" w:rsidRDefault="00D2400B" w:rsidP="00EA1363">
            <w:pPr>
              <w:rPr>
                <w:b/>
              </w:rPr>
            </w:pPr>
            <w:r w:rsidRPr="0044141E">
              <w:rPr>
                <w:b/>
                <w:bCs/>
                <w:color w:val="000000"/>
              </w:rPr>
              <w:t>Retained Earnings</w:t>
            </w:r>
          </w:p>
        </w:tc>
        <w:tc>
          <w:tcPr>
            <w:tcW w:w="1701" w:type="dxa"/>
          </w:tcPr>
          <w:p w:rsidR="00D2400B" w:rsidRPr="001E59DB" w:rsidRDefault="00D2400B" w:rsidP="00EA1363">
            <w:pPr>
              <w:jc w:val="right"/>
            </w:pPr>
          </w:p>
        </w:tc>
        <w:tc>
          <w:tcPr>
            <w:tcW w:w="1938" w:type="dxa"/>
          </w:tcPr>
          <w:p w:rsidR="00D2400B" w:rsidRPr="001E59DB" w:rsidRDefault="00D2400B" w:rsidP="00EA1363">
            <w:pPr>
              <w:jc w:val="right"/>
            </w:pPr>
          </w:p>
        </w:tc>
      </w:tr>
      <w:tr w:rsidR="00D2400B" w:rsidRPr="001E59DB" w:rsidTr="000234B1">
        <w:trPr>
          <w:cantSplit/>
          <w:jc w:val="center"/>
        </w:trPr>
        <w:tc>
          <w:tcPr>
            <w:tcW w:w="5637" w:type="dxa"/>
          </w:tcPr>
          <w:p w:rsidR="00D2400B" w:rsidRPr="001E59DB" w:rsidRDefault="00D2400B" w:rsidP="00EA1363">
            <w:r w:rsidRPr="001E59DB">
              <w:rPr>
                <w:color w:val="000000"/>
              </w:rPr>
              <w:t>Profit/ (Loss) after Income Tax Expense</w:t>
            </w:r>
          </w:p>
        </w:tc>
        <w:tc>
          <w:tcPr>
            <w:tcW w:w="1701" w:type="dxa"/>
            <w:tcBorders>
              <w:bottom w:val="single" w:sz="4" w:space="0" w:color="auto"/>
            </w:tcBorders>
          </w:tcPr>
          <w:p w:rsidR="00D2400B" w:rsidRPr="001E59DB" w:rsidRDefault="00D2400B" w:rsidP="00EA1363">
            <w:pPr>
              <w:jc w:val="right"/>
            </w:pPr>
            <w:r w:rsidRPr="001E59DB">
              <w:rPr>
                <w:color w:val="000000"/>
              </w:rPr>
              <w:t>(</w:t>
            </w:r>
            <w:r>
              <w:rPr>
                <w:color w:val="000000"/>
              </w:rPr>
              <w:t>517,369</w:t>
            </w:r>
            <w:r w:rsidRPr="001E59DB">
              <w:rPr>
                <w:color w:val="000000"/>
              </w:rPr>
              <w:t>)</w:t>
            </w:r>
          </w:p>
        </w:tc>
        <w:tc>
          <w:tcPr>
            <w:tcW w:w="1938" w:type="dxa"/>
            <w:tcBorders>
              <w:bottom w:val="single" w:sz="4" w:space="0" w:color="auto"/>
            </w:tcBorders>
          </w:tcPr>
          <w:p w:rsidR="00D2400B" w:rsidRPr="001E59DB" w:rsidRDefault="00D2400B" w:rsidP="00EA1363">
            <w:pPr>
              <w:jc w:val="right"/>
            </w:pPr>
            <w:r w:rsidRPr="001E59DB">
              <w:rPr>
                <w:color w:val="000000"/>
              </w:rPr>
              <w:t>(1,204,253)</w:t>
            </w:r>
          </w:p>
        </w:tc>
      </w:tr>
      <w:tr w:rsidR="00D2400B" w:rsidRPr="001E59DB" w:rsidTr="000234B1">
        <w:trPr>
          <w:cantSplit/>
          <w:jc w:val="center"/>
        </w:trPr>
        <w:tc>
          <w:tcPr>
            <w:tcW w:w="5637" w:type="dxa"/>
          </w:tcPr>
          <w:p w:rsidR="00D2400B" w:rsidRPr="001E59DB" w:rsidRDefault="00D2400B" w:rsidP="00EA1363"/>
        </w:tc>
        <w:tc>
          <w:tcPr>
            <w:tcW w:w="1701" w:type="dxa"/>
            <w:tcBorders>
              <w:top w:val="single" w:sz="4" w:space="0" w:color="auto"/>
            </w:tcBorders>
          </w:tcPr>
          <w:p w:rsidR="00D2400B" w:rsidRPr="001E59DB" w:rsidRDefault="00D2400B" w:rsidP="00EA1363">
            <w:pPr>
              <w:jc w:val="right"/>
            </w:pPr>
            <w:r w:rsidRPr="001E59DB">
              <w:rPr>
                <w:color w:val="000000"/>
              </w:rPr>
              <w:t>(</w:t>
            </w:r>
            <w:r>
              <w:rPr>
                <w:color w:val="000000"/>
              </w:rPr>
              <w:t>517,369</w:t>
            </w:r>
            <w:r w:rsidRPr="001E59DB">
              <w:rPr>
                <w:color w:val="000000"/>
              </w:rPr>
              <w:t>)</w:t>
            </w:r>
          </w:p>
        </w:tc>
        <w:tc>
          <w:tcPr>
            <w:tcW w:w="1938" w:type="dxa"/>
            <w:tcBorders>
              <w:top w:val="single" w:sz="4" w:space="0" w:color="auto"/>
            </w:tcBorders>
          </w:tcPr>
          <w:p w:rsidR="00D2400B" w:rsidRPr="001E59DB" w:rsidRDefault="00D2400B" w:rsidP="00EA1363">
            <w:pPr>
              <w:jc w:val="right"/>
            </w:pPr>
            <w:r w:rsidRPr="001E59DB">
              <w:rPr>
                <w:color w:val="000000"/>
              </w:rPr>
              <w:t>(1,204,253)</w:t>
            </w:r>
          </w:p>
        </w:tc>
      </w:tr>
      <w:tr w:rsidR="00D2400B" w:rsidRPr="001E59DB" w:rsidTr="000234B1">
        <w:trPr>
          <w:cantSplit/>
          <w:jc w:val="center"/>
        </w:trPr>
        <w:tc>
          <w:tcPr>
            <w:tcW w:w="5637" w:type="dxa"/>
          </w:tcPr>
          <w:p w:rsidR="00D2400B" w:rsidRPr="0044141E" w:rsidRDefault="00D2400B" w:rsidP="00EA1363">
            <w:pPr>
              <w:rPr>
                <w:b/>
              </w:rPr>
            </w:pPr>
            <w:r w:rsidRPr="0044141E">
              <w:rPr>
                <w:b/>
                <w:bCs/>
                <w:color w:val="000000"/>
              </w:rPr>
              <w:t>Closing Balance</w:t>
            </w:r>
          </w:p>
        </w:tc>
        <w:tc>
          <w:tcPr>
            <w:tcW w:w="1701" w:type="dxa"/>
            <w:tcBorders>
              <w:top w:val="single" w:sz="4" w:space="0" w:color="auto"/>
              <w:bottom w:val="double" w:sz="4" w:space="0" w:color="auto"/>
            </w:tcBorders>
          </w:tcPr>
          <w:p w:rsidR="00D2400B" w:rsidRPr="001E59DB" w:rsidRDefault="00D2400B" w:rsidP="00EA1363">
            <w:pPr>
              <w:jc w:val="right"/>
            </w:pPr>
            <w:r>
              <w:rPr>
                <w:color w:val="000000"/>
              </w:rPr>
              <w:t>7,672,016</w:t>
            </w:r>
          </w:p>
        </w:tc>
        <w:tc>
          <w:tcPr>
            <w:tcW w:w="1938" w:type="dxa"/>
            <w:tcBorders>
              <w:top w:val="single" w:sz="4" w:space="0" w:color="auto"/>
              <w:bottom w:val="double" w:sz="4" w:space="0" w:color="auto"/>
            </w:tcBorders>
          </w:tcPr>
          <w:p w:rsidR="00D2400B" w:rsidRPr="001E59DB" w:rsidRDefault="00D2400B" w:rsidP="00EA1363">
            <w:pPr>
              <w:jc w:val="right"/>
            </w:pPr>
            <w:r w:rsidRPr="001E59DB">
              <w:rPr>
                <w:color w:val="000000"/>
              </w:rPr>
              <w:t>8,189,385</w:t>
            </w:r>
          </w:p>
        </w:tc>
      </w:tr>
      <w:tr w:rsidR="00D2400B" w:rsidRPr="001E59DB" w:rsidTr="000234B1">
        <w:trPr>
          <w:cantSplit/>
          <w:jc w:val="center"/>
        </w:trPr>
        <w:tc>
          <w:tcPr>
            <w:tcW w:w="5637" w:type="dxa"/>
          </w:tcPr>
          <w:p w:rsidR="00D2400B" w:rsidRPr="0044141E" w:rsidRDefault="00D2400B" w:rsidP="00EA1363">
            <w:pPr>
              <w:rPr>
                <w:b/>
              </w:rPr>
            </w:pPr>
            <w:r w:rsidRPr="0044141E">
              <w:rPr>
                <w:b/>
                <w:bCs/>
                <w:color w:val="000000"/>
              </w:rPr>
              <w:t>Reconciliation of Retained Earnings</w:t>
            </w:r>
          </w:p>
        </w:tc>
        <w:tc>
          <w:tcPr>
            <w:tcW w:w="1701" w:type="dxa"/>
          </w:tcPr>
          <w:p w:rsidR="00D2400B" w:rsidRPr="001E59DB" w:rsidRDefault="00D2400B" w:rsidP="00EA1363">
            <w:pPr>
              <w:jc w:val="right"/>
            </w:pPr>
          </w:p>
        </w:tc>
        <w:tc>
          <w:tcPr>
            <w:tcW w:w="1938" w:type="dxa"/>
          </w:tcPr>
          <w:p w:rsidR="00D2400B" w:rsidRPr="001E59DB" w:rsidRDefault="00D2400B" w:rsidP="00EA1363">
            <w:pPr>
              <w:jc w:val="right"/>
            </w:pPr>
          </w:p>
        </w:tc>
      </w:tr>
      <w:tr w:rsidR="00D2400B" w:rsidRPr="001E59DB" w:rsidTr="000234B1">
        <w:trPr>
          <w:cantSplit/>
          <w:jc w:val="center"/>
        </w:trPr>
        <w:tc>
          <w:tcPr>
            <w:tcW w:w="5637" w:type="dxa"/>
          </w:tcPr>
          <w:p w:rsidR="00D2400B" w:rsidRPr="001E59DB" w:rsidRDefault="00D2400B" w:rsidP="00EA1363">
            <w:r w:rsidRPr="001E59DB">
              <w:rPr>
                <w:color w:val="000000"/>
              </w:rPr>
              <w:t>Opening Balance</w:t>
            </w:r>
          </w:p>
        </w:tc>
        <w:tc>
          <w:tcPr>
            <w:tcW w:w="1701" w:type="dxa"/>
          </w:tcPr>
          <w:p w:rsidR="00D2400B" w:rsidRPr="001E59DB" w:rsidRDefault="00D2400B" w:rsidP="00EA1363">
            <w:pPr>
              <w:jc w:val="right"/>
            </w:pPr>
            <w:r w:rsidRPr="001E59DB">
              <w:rPr>
                <w:color w:val="000000"/>
              </w:rPr>
              <w:t>7,741,285</w:t>
            </w:r>
          </w:p>
        </w:tc>
        <w:tc>
          <w:tcPr>
            <w:tcW w:w="1938" w:type="dxa"/>
          </w:tcPr>
          <w:p w:rsidR="00D2400B" w:rsidRPr="001E59DB" w:rsidRDefault="00D2400B" w:rsidP="00EA1363">
            <w:pPr>
              <w:jc w:val="right"/>
            </w:pPr>
            <w:r w:rsidRPr="001E59DB">
              <w:rPr>
                <w:color w:val="000000"/>
              </w:rPr>
              <w:t>8,945,538</w:t>
            </w:r>
          </w:p>
        </w:tc>
      </w:tr>
      <w:tr w:rsidR="00D2400B" w:rsidRPr="001E59DB" w:rsidTr="000234B1">
        <w:trPr>
          <w:cantSplit/>
          <w:jc w:val="center"/>
        </w:trPr>
        <w:tc>
          <w:tcPr>
            <w:tcW w:w="5637" w:type="dxa"/>
          </w:tcPr>
          <w:p w:rsidR="00D2400B" w:rsidRPr="001E59DB" w:rsidRDefault="00D2400B" w:rsidP="00EA1363">
            <w:r w:rsidRPr="001E59DB">
              <w:rPr>
                <w:color w:val="000000"/>
              </w:rPr>
              <w:t>Profit/ (Loss) after Income Tax Expense</w:t>
            </w:r>
          </w:p>
        </w:tc>
        <w:tc>
          <w:tcPr>
            <w:tcW w:w="1701" w:type="dxa"/>
            <w:tcBorders>
              <w:bottom w:val="single" w:sz="4" w:space="0" w:color="auto"/>
            </w:tcBorders>
          </w:tcPr>
          <w:p w:rsidR="00D2400B" w:rsidRPr="001E59DB" w:rsidRDefault="00D2400B" w:rsidP="00EA1363">
            <w:pPr>
              <w:jc w:val="right"/>
            </w:pPr>
            <w:r w:rsidRPr="001E59DB">
              <w:rPr>
                <w:color w:val="000000"/>
              </w:rPr>
              <w:t>(</w:t>
            </w:r>
            <w:r>
              <w:rPr>
                <w:color w:val="000000"/>
              </w:rPr>
              <w:t>517,369</w:t>
            </w:r>
            <w:r w:rsidRPr="001E59DB">
              <w:rPr>
                <w:color w:val="000000"/>
              </w:rPr>
              <w:t>)</w:t>
            </w:r>
          </w:p>
        </w:tc>
        <w:tc>
          <w:tcPr>
            <w:tcW w:w="1938" w:type="dxa"/>
            <w:tcBorders>
              <w:bottom w:val="single" w:sz="4" w:space="0" w:color="auto"/>
            </w:tcBorders>
          </w:tcPr>
          <w:p w:rsidR="00D2400B" w:rsidRPr="001E59DB" w:rsidRDefault="00D2400B" w:rsidP="00EA1363">
            <w:pPr>
              <w:jc w:val="right"/>
            </w:pPr>
            <w:r w:rsidRPr="001E59DB">
              <w:rPr>
                <w:color w:val="000000"/>
              </w:rPr>
              <w:t>(1,204,253)</w:t>
            </w:r>
          </w:p>
        </w:tc>
      </w:tr>
      <w:tr w:rsidR="00D2400B" w:rsidRPr="001E59DB" w:rsidTr="000234B1">
        <w:trPr>
          <w:cantSplit/>
          <w:jc w:val="center"/>
        </w:trPr>
        <w:tc>
          <w:tcPr>
            <w:tcW w:w="5637" w:type="dxa"/>
          </w:tcPr>
          <w:p w:rsidR="00D2400B" w:rsidRPr="001E59DB" w:rsidRDefault="00D2400B" w:rsidP="00EA1363">
            <w:r w:rsidRPr="001E59DB">
              <w:rPr>
                <w:color w:val="000000"/>
              </w:rPr>
              <w:t>Closing Balance</w:t>
            </w:r>
          </w:p>
        </w:tc>
        <w:tc>
          <w:tcPr>
            <w:tcW w:w="1701" w:type="dxa"/>
            <w:tcBorders>
              <w:top w:val="single" w:sz="4" w:space="0" w:color="auto"/>
              <w:bottom w:val="single" w:sz="4" w:space="0" w:color="auto"/>
            </w:tcBorders>
          </w:tcPr>
          <w:p w:rsidR="00D2400B" w:rsidRPr="001E59DB" w:rsidRDefault="00D2400B" w:rsidP="00EA1363">
            <w:pPr>
              <w:jc w:val="right"/>
            </w:pPr>
            <w:r>
              <w:rPr>
                <w:color w:val="000000"/>
              </w:rPr>
              <w:t>7,223,916</w:t>
            </w:r>
          </w:p>
        </w:tc>
        <w:tc>
          <w:tcPr>
            <w:tcW w:w="1938" w:type="dxa"/>
            <w:tcBorders>
              <w:top w:val="single" w:sz="4" w:space="0" w:color="auto"/>
              <w:bottom w:val="single" w:sz="4" w:space="0" w:color="auto"/>
            </w:tcBorders>
          </w:tcPr>
          <w:p w:rsidR="00D2400B" w:rsidRPr="001E59DB" w:rsidRDefault="00D2400B" w:rsidP="00EA1363">
            <w:pPr>
              <w:jc w:val="right"/>
            </w:pPr>
            <w:r w:rsidRPr="001E59DB">
              <w:rPr>
                <w:color w:val="000000"/>
              </w:rPr>
              <w:t>7,741,285</w:t>
            </w:r>
          </w:p>
        </w:tc>
      </w:tr>
      <w:tr w:rsidR="00D2400B" w:rsidRPr="001E59DB" w:rsidTr="000234B1">
        <w:trPr>
          <w:cantSplit/>
          <w:jc w:val="center"/>
        </w:trPr>
        <w:tc>
          <w:tcPr>
            <w:tcW w:w="5637" w:type="dxa"/>
          </w:tcPr>
          <w:p w:rsidR="00D2400B" w:rsidRPr="0044141E" w:rsidRDefault="00D2400B" w:rsidP="00EA1363">
            <w:pPr>
              <w:rPr>
                <w:b/>
              </w:rPr>
            </w:pPr>
            <w:r w:rsidRPr="0044141E">
              <w:rPr>
                <w:b/>
                <w:bCs/>
                <w:color w:val="000000"/>
              </w:rPr>
              <w:t>Reconciliation of Reserves</w:t>
            </w:r>
          </w:p>
        </w:tc>
        <w:tc>
          <w:tcPr>
            <w:tcW w:w="1701" w:type="dxa"/>
          </w:tcPr>
          <w:p w:rsidR="00D2400B" w:rsidRPr="001E59DB" w:rsidRDefault="00D2400B" w:rsidP="00EA1363">
            <w:pPr>
              <w:jc w:val="right"/>
            </w:pPr>
          </w:p>
        </w:tc>
        <w:tc>
          <w:tcPr>
            <w:tcW w:w="1938" w:type="dxa"/>
          </w:tcPr>
          <w:p w:rsidR="00D2400B" w:rsidRPr="001E59DB" w:rsidRDefault="00D2400B" w:rsidP="00EA1363">
            <w:pPr>
              <w:jc w:val="right"/>
            </w:pPr>
          </w:p>
        </w:tc>
      </w:tr>
      <w:tr w:rsidR="00D2400B" w:rsidRPr="001E59DB" w:rsidTr="000234B1">
        <w:trPr>
          <w:cantSplit/>
          <w:jc w:val="center"/>
        </w:trPr>
        <w:tc>
          <w:tcPr>
            <w:tcW w:w="5637" w:type="dxa"/>
          </w:tcPr>
          <w:p w:rsidR="00D2400B" w:rsidRPr="0044141E" w:rsidRDefault="00D2400B" w:rsidP="00EA1363">
            <w:pPr>
              <w:rPr>
                <w:b/>
              </w:rPr>
            </w:pPr>
            <w:r w:rsidRPr="0044141E">
              <w:rPr>
                <w:b/>
                <w:bCs/>
                <w:color w:val="000000"/>
              </w:rPr>
              <w:t>Capital Redemption Reserve</w:t>
            </w:r>
          </w:p>
        </w:tc>
        <w:tc>
          <w:tcPr>
            <w:tcW w:w="1701" w:type="dxa"/>
          </w:tcPr>
          <w:p w:rsidR="00D2400B" w:rsidRPr="001E59DB" w:rsidRDefault="00D2400B" w:rsidP="00EA1363">
            <w:pPr>
              <w:jc w:val="right"/>
            </w:pPr>
          </w:p>
        </w:tc>
        <w:tc>
          <w:tcPr>
            <w:tcW w:w="1938" w:type="dxa"/>
          </w:tcPr>
          <w:p w:rsidR="00D2400B" w:rsidRPr="001E59DB" w:rsidRDefault="00D2400B" w:rsidP="00EA1363">
            <w:pPr>
              <w:jc w:val="right"/>
            </w:pPr>
          </w:p>
        </w:tc>
      </w:tr>
      <w:tr w:rsidR="00D2400B" w:rsidRPr="001E59DB" w:rsidTr="000234B1">
        <w:trPr>
          <w:cantSplit/>
          <w:jc w:val="center"/>
        </w:trPr>
        <w:tc>
          <w:tcPr>
            <w:tcW w:w="5637" w:type="dxa"/>
          </w:tcPr>
          <w:p w:rsidR="00D2400B" w:rsidRPr="001E59DB" w:rsidRDefault="00D2400B" w:rsidP="00EA1363">
            <w:r w:rsidRPr="001E59DB">
              <w:rPr>
                <w:color w:val="000000"/>
              </w:rPr>
              <w:t>Opening Balance for the year</w:t>
            </w:r>
          </w:p>
        </w:tc>
        <w:tc>
          <w:tcPr>
            <w:tcW w:w="1701" w:type="dxa"/>
            <w:tcBorders>
              <w:bottom w:val="single" w:sz="4" w:space="0" w:color="auto"/>
            </w:tcBorders>
          </w:tcPr>
          <w:p w:rsidR="00D2400B" w:rsidRPr="001E59DB" w:rsidRDefault="00D2400B" w:rsidP="00EA1363">
            <w:pPr>
              <w:jc w:val="right"/>
            </w:pPr>
            <w:r w:rsidRPr="001E59DB">
              <w:rPr>
                <w:color w:val="000000"/>
              </w:rPr>
              <w:t>448,100</w:t>
            </w:r>
          </w:p>
        </w:tc>
        <w:tc>
          <w:tcPr>
            <w:tcW w:w="1938" w:type="dxa"/>
            <w:tcBorders>
              <w:bottom w:val="single" w:sz="4" w:space="0" w:color="auto"/>
            </w:tcBorders>
          </w:tcPr>
          <w:p w:rsidR="00D2400B" w:rsidRPr="001E59DB" w:rsidRDefault="00D2400B" w:rsidP="00EA1363">
            <w:pPr>
              <w:jc w:val="right"/>
            </w:pPr>
            <w:r w:rsidRPr="001E59DB">
              <w:rPr>
                <w:color w:val="000000"/>
              </w:rPr>
              <w:t>448,100</w:t>
            </w:r>
          </w:p>
        </w:tc>
      </w:tr>
      <w:tr w:rsidR="00D2400B" w:rsidRPr="001E59DB" w:rsidTr="000234B1">
        <w:trPr>
          <w:cantSplit/>
          <w:jc w:val="center"/>
        </w:trPr>
        <w:tc>
          <w:tcPr>
            <w:tcW w:w="5637" w:type="dxa"/>
          </w:tcPr>
          <w:p w:rsidR="00D2400B" w:rsidRPr="001E59DB" w:rsidRDefault="00D2400B" w:rsidP="00EA1363">
            <w:r w:rsidRPr="001E59DB">
              <w:rPr>
                <w:color w:val="000000"/>
              </w:rPr>
              <w:t>Closing Balance</w:t>
            </w:r>
          </w:p>
        </w:tc>
        <w:tc>
          <w:tcPr>
            <w:tcW w:w="1701" w:type="dxa"/>
            <w:tcBorders>
              <w:top w:val="single" w:sz="4" w:space="0" w:color="auto"/>
              <w:bottom w:val="single" w:sz="4" w:space="0" w:color="auto"/>
            </w:tcBorders>
          </w:tcPr>
          <w:p w:rsidR="00D2400B" w:rsidRPr="001E59DB" w:rsidRDefault="00D2400B" w:rsidP="00EA1363">
            <w:pPr>
              <w:jc w:val="right"/>
            </w:pPr>
            <w:r w:rsidRPr="001E59DB">
              <w:rPr>
                <w:color w:val="000000"/>
              </w:rPr>
              <w:t>448,100</w:t>
            </w:r>
          </w:p>
        </w:tc>
        <w:tc>
          <w:tcPr>
            <w:tcW w:w="1938" w:type="dxa"/>
            <w:tcBorders>
              <w:top w:val="single" w:sz="4" w:space="0" w:color="auto"/>
              <w:bottom w:val="single" w:sz="4" w:space="0" w:color="auto"/>
            </w:tcBorders>
          </w:tcPr>
          <w:p w:rsidR="00D2400B" w:rsidRPr="001E59DB" w:rsidRDefault="00D2400B" w:rsidP="00EA1363">
            <w:pPr>
              <w:jc w:val="right"/>
            </w:pPr>
            <w:r w:rsidRPr="001E59DB">
              <w:rPr>
                <w:color w:val="000000"/>
              </w:rPr>
              <w:t>448,100</w:t>
            </w:r>
          </w:p>
        </w:tc>
      </w:tr>
      <w:tr w:rsidR="00D2400B" w:rsidRPr="001E59DB" w:rsidTr="000234B1">
        <w:trPr>
          <w:cantSplit/>
          <w:jc w:val="center"/>
        </w:trPr>
        <w:tc>
          <w:tcPr>
            <w:tcW w:w="5637" w:type="dxa"/>
          </w:tcPr>
          <w:p w:rsidR="00D2400B" w:rsidRPr="0044141E" w:rsidRDefault="00D2400B" w:rsidP="00EA1363">
            <w:pPr>
              <w:rPr>
                <w:b/>
              </w:rPr>
            </w:pPr>
            <w:r w:rsidRPr="0044141E">
              <w:rPr>
                <w:b/>
                <w:bCs/>
                <w:color w:val="000000"/>
              </w:rPr>
              <w:t>Total Equity</w:t>
            </w:r>
          </w:p>
        </w:tc>
        <w:tc>
          <w:tcPr>
            <w:tcW w:w="1701" w:type="dxa"/>
            <w:tcBorders>
              <w:top w:val="single" w:sz="4" w:space="0" w:color="auto"/>
              <w:bottom w:val="double" w:sz="4" w:space="0" w:color="auto"/>
            </w:tcBorders>
          </w:tcPr>
          <w:p w:rsidR="00D2400B" w:rsidRPr="001E59DB" w:rsidRDefault="00D2400B" w:rsidP="00F42C98">
            <w:pPr>
              <w:spacing w:after="60"/>
              <w:jc w:val="right"/>
            </w:pPr>
            <w:r>
              <w:rPr>
                <w:color w:val="000000"/>
              </w:rPr>
              <w:t>7,672,016</w:t>
            </w:r>
          </w:p>
        </w:tc>
        <w:tc>
          <w:tcPr>
            <w:tcW w:w="1938" w:type="dxa"/>
            <w:tcBorders>
              <w:top w:val="single" w:sz="4" w:space="0" w:color="auto"/>
              <w:bottom w:val="double" w:sz="4" w:space="0" w:color="auto"/>
            </w:tcBorders>
          </w:tcPr>
          <w:p w:rsidR="00D2400B" w:rsidRPr="001E59DB" w:rsidRDefault="00D2400B" w:rsidP="00F42C98">
            <w:pPr>
              <w:spacing w:after="60"/>
              <w:jc w:val="right"/>
            </w:pPr>
            <w:r w:rsidRPr="001E59DB">
              <w:rPr>
                <w:color w:val="000000"/>
              </w:rPr>
              <w:t>8,189,385</w:t>
            </w:r>
          </w:p>
        </w:tc>
      </w:tr>
    </w:tbl>
    <w:p w:rsidR="00D2400B" w:rsidRPr="00C2688A" w:rsidRDefault="00D2400B" w:rsidP="00712543">
      <w:pPr>
        <w:pStyle w:val="Quote"/>
        <w:spacing w:before="3720"/>
        <w:jc w:val="center"/>
        <w:sectPr w:rsidR="00D2400B" w:rsidRPr="00C2688A" w:rsidSect="000C5471">
          <w:pgSz w:w="11904" w:h="16836"/>
          <w:pgMar w:top="1440" w:right="1440" w:bottom="1440" w:left="1440" w:header="720" w:footer="288" w:gutter="0"/>
          <w:cols w:space="720"/>
          <w:noEndnote/>
          <w:docGrid w:linePitch="299"/>
        </w:sectPr>
      </w:pPr>
      <w:r w:rsidRPr="00C2688A">
        <w:t>The accompanying notes form part of these financial statements</w:t>
      </w:r>
    </w:p>
    <w:p w:rsidR="00D2400B" w:rsidRPr="003226E6" w:rsidRDefault="00D2400B" w:rsidP="000C5471">
      <w:pPr>
        <w:pStyle w:val="Heading1"/>
        <w:rPr>
          <w:sz w:val="24"/>
          <w:szCs w:val="24"/>
        </w:rPr>
      </w:pPr>
      <w:bookmarkStart w:id="7" w:name="_Toc370126168"/>
      <w:r w:rsidRPr="003226E6">
        <w:lastRenderedPageBreak/>
        <w:t>Cash Flow Statement</w:t>
      </w:r>
      <w:bookmarkEnd w:id="7"/>
    </w:p>
    <w:p w:rsidR="00D2400B" w:rsidRPr="00C2688A" w:rsidRDefault="00D2400B" w:rsidP="00D668F9">
      <w:pPr>
        <w:spacing w:after="960"/>
        <w:rPr>
          <w:b/>
          <w:sz w:val="24"/>
          <w:szCs w:val="24"/>
        </w:rPr>
      </w:pPr>
      <w:r w:rsidRPr="00C2688A">
        <w:rPr>
          <w:b/>
        </w:rPr>
        <w:t>For the Year ended 30 June 2013</w:t>
      </w:r>
    </w:p>
    <w:tbl>
      <w:tblPr>
        <w:tblStyle w:val="TableGrid"/>
        <w:tblW w:w="91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ash flow statement items"/>
      </w:tblPr>
      <w:tblGrid>
        <w:gridCol w:w="6014"/>
        <w:gridCol w:w="1552"/>
        <w:gridCol w:w="1619"/>
      </w:tblGrid>
      <w:tr w:rsidR="00C2688A" w:rsidRPr="00D40661" w:rsidTr="000234B1">
        <w:trPr>
          <w:cnfStyle w:val="100000000000" w:firstRow="1" w:lastRow="0" w:firstColumn="0" w:lastColumn="0" w:oddVBand="0" w:evenVBand="0" w:oddHBand="0" w:evenHBand="0" w:firstRowFirstColumn="0" w:firstRowLastColumn="0" w:lastRowFirstColumn="0" w:lastRowLastColumn="0"/>
          <w:tblHeader/>
          <w:jc w:val="center"/>
        </w:trPr>
        <w:tc>
          <w:tcPr>
            <w:tcW w:w="5495" w:type="dxa"/>
          </w:tcPr>
          <w:p w:rsidR="00C2688A" w:rsidRPr="00D40661" w:rsidRDefault="004B6061" w:rsidP="00EA1363">
            <w:pPr>
              <w:ind w:left="27"/>
            </w:pPr>
            <w:r>
              <w:rPr>
                <w:bCs/>
                <w:color w:val="000000"/>
              </w:rPr>
              <w:br/>
            </w:r>
            <w:r w:rsidR="00C2688A" w:rsidRPr="00C2688A">
              <w:rPr>
                <w:bCs/>
                <w:color w:val="000000"/>
              </w:rPr>
              <w:t>Cash Flows from Operating</w:t>
            </w:r>
            <w:r w:rsidR="00C2688A" w:rsidRPr="00C2688A">
              <w:rPr>
                <w:b w:val="0"/>
                <w:bCs/>
                <w:color w:val="000000"/>
              </w:rPr>
              <w:t xml:space="preserve"> </w:t>
            </w:r>
            <w:r w:rsidR="00C2688A" w:rsidRPr="00C2688A">
              <w:rPr>
                <w:bCs/>
                <w:color w:val="000000"/>
              </w:rPr>
              <w:t>Activities</w:t>
            </w:r>
          </w:p>
        </w:tc>
        <w:tc>
          <w:tcPr>
            <w:tcW w:w="1418" w:type="dxa"/>
          </w:tcPr>
          <w:p w:rsidR="00C2688A" w:rsidRPr="00D40661" w:rsidRDefault="00C2688A" w:rsidP="00EA1363">
            <w:pPr>
              <w:ind w:left="27"/>
              <w:jc w:val="right"/>
            </w:pPr>
            <w:r>
              <w:rPr>
                <w:color w:val="000000"/>
              </w:rPr>
              <w:t>2013</w:t>
            </w:r>
            <w:r>
              <w:rPr>
                <w:color w:val="000000"/>
              </w:rPr>
              <w:br/>
              <w:t>$</w:t>
            </w:r>
          </w:p>
        </w:tc>
        <w:tc>
          <w:tcPr>
            <w:tcW w:w="1479" w:type="dxa"/>
          </w:tcPr>
          <w:p w:rsidR="00C2688A" w:rsidRPr="00D40661" w:rsidRDefault="00C2688A" w:rsidP="00EA1363">
            <w:pPr>
              <w:ind w:left="27"/>
              <w:jc w:val="right"/>
            </w:pPr>
            <w:r>
              <w:rPr>
                <w:color w:val="000000"/>
              </w:rPr>
              <w:t>2012</w:t>
            </w:r>
            <w:r>
              <w:rPr>
                <w:color w:val="000000"/>
              </w:rPr>
              <w:br/>
              <w:t>$</w:t>
            </w:r>
          </w:p>
        </w:tc>
      </w:tr>
      <w:tr w:rsidR="00C2688A" w:rsidRPr="00D40661" w:rsidTr="000234B1">
        <w:trPr>
          <w:jc w:val="center"/>
        </w:trPr>
        <w:tc>
          <w:tcPr>
            <w:tcW w:w="5495" w:type="dxa"/>
          </w:tcPr>
          <w:p w:rsidR="00C2688A" w:rsidRPr="00D40661" w:rsidRDefault="00C2688A" w:rsidP="00EA1363">
            <w:pPr>
              <w:ind w:left="27"/>
            </w:pPr>
            <w:r w:rsidRPr="00D40661">
              <w:rPr>
                <w:color w:val="000000"/>
              </w:rPr>
              <w:t>Receipts from Government (Grant)</w:t>
            </w:r>
            <w:r>
              <w:rPr>
                <w:color w:val="000000"/>
              </w:rPr>
              <w:t xml:space="preserve"> &amp; Access IQ</w:t>
            </w:r>
          </w:p>
        </w:tc>
        <w:tc>
          <w:tcPr>
            <w:tcW w:w="1418" w:type="dxa"/>
          </w:tcPr>
          <w:p w:rsidR="00C2688A" w:rsidRPr="00D40661" w:rsidRDefault="00C2688A" w:rsidP="00EA1363">
            <w:pPr>
              <w:ind w:left="27"/>
              <w:jc w:val="right"/>
            </w:pPr>
            <w:r>
              <w:rPr>
                <w:color w:val="000000"/>
              </w:rPr>
              <w:t>403,988</w:t>
            </w:r>
          </w:p>
        </w:tc>
        <w:tc>
          <w:tcPr>
            <w:tcW w:w="1479" w:type="dxa"/>
          </w:tcPr>
          <w:p w:rsidR="00C2688A" w:rsidRPr="00D40661" w:rsidRDefault="00C2688A" w:rsidP="00EA1363">
            <w:pPr>
              <w:ind w:left="27"/>
              <w:jc w:val="right"/>
            </w:pPr>
            <w:r w:rsidRPr="00D40661">
              <w:rPr>
                <w:color w:val="000000"/>
              </w:rPr>
              <w:t>121,817</w:t>
            </w:r>
          </w:p>
        </w:tc>
      </w:tr>
      <w:tr w:rsidR="00C2688A" w:rsidRPr="00D40661" w:rsidTr="000234B1">
        <w:trPr>
          <w:jc w:val="center"/>
        </w:trPr>
        <w:tc>
          <w:tcPr>
            <w:tcW w:w="5495" w:type="dxa"/>
          </w:tcPr>
          <w:p w:rsidR="00C2688A" w:rsidRPr="00D40661" w:rsidRDefault="00C2688A" w:rsidP="00EA1363">
            <w:pPr>
              <w:ind w:left="27"/>
            </w:pPr>
            <w:r w:rsidRPr="00D40661">
              <w:rPr>
                <w:color w:val="000000"/>
              </w:rPr>
              <w:t>Payments to Suppliers and Employees</w:t>
            </w:r>
          </w:p>
        </w:tc>
        <w:tc>
          <w:tcPr>
            <w:tcW w:w="1418" w:type="dxa"/>
          </w:tcPr>
          <w:p w:rsidR="00C2688A" w:rsidRPr="00D40661" w:rsidRDefault="00C2688A" w:rsidP="00EA1363">
            <w:pPr>
              <w:ind w:left="27"/>
              <w:jc w:val="right"/>
            </w:pPr>
            <w:r w:rsidRPr="00D40661">
              <w:rPr>
                <w:color w:val="000000"/>
              </w:rPr>
              <w:t>(</w:t>
            </w:r>
            <w:r>
              <w:rPr>
                <w:color w:val="000000"/>
              </w:rPr>
              <w:t>2,230,796</w:t>
            </w:r>
            <w:r w:rsidRPr="00D40661">
              <w:rPr>
                <w:color w:val="000000"/>
              </w:rPr>
              <w:t>)</w:t>
            </w:r>
          </w:p>
        </w:tc>
        <w:tc>
          <w:tcPr>
            <w:tcW w:w="1479" w:type="dxa"/>
          </w:tcPr>
          <w:p w:rsidR="00C2688A" w:rsidRPr="00D40661" w:rsidRDefault="00C2688A" w:rsidP="00EA1363">
            <w:pPr>
              <w:ind w:left="27"/>
              <w:jc w:val="right"/>
            </w:pPr>
            <w:r w:rsidRPr="00D40661">
              <w:rPr>
                <w:color w:val="000000"/>
              </w:rPr>
              <w:t>(1,699,783)</w:t>
            </w:r>
          </w:p>
        </w:tc>
      </w:tr>
      <w:tr w:rsidR="00C2688A" w:rsidRPr="00D40661" w:rsidTr="004B6061">
        <w:trPr>
          <w:jc w:val="center"/>
        </w:trPr>
        <w:tc>
          <w:tcPr>
            <w:tcW w:w="5495" w:type="dxa"/>
          </w:tcPr>
          <w:p w:rsidR="00C2688A" w:rsidRPr="00D40661" w:rsidRDefault="00C2688A" w:rsidP="00EA1363">
            <w:pPr>
              <w:ind w:left="27"/>
            </w:pPr>
            <w:r w:rsidRPr="00D40661">
              <w:t>Interest / investment distributions received</w:t>
            </w:r>
          </w:p>
        </w:tc>
        <w:tc>
          <w:tcPr>
            <w:tcW w:w="1418" w:type="dxa"/>
            <w:tcBorders>
              <w:bottom w:val="single" w:sz="4" w:space="0" w:color="auto"/>
            </w:tcBorders>
          </w:tcPr>
          <w:p w:rsidR="00C2688A" w:rsidRPr="00D40661" w:rsidRDefault="00C2688A" w:rsidP="00EA1363">
            <w:pPr>
              <w:ind w:left="27"/>
              <w:jc w:val="right"/>
            </w:pPr>
            <w:r>
              <w:rPr>
                <w:color w:val="000000"/>
              </w:rPr>
              <w:t>516,487</w:t>
            </w:r>
          </w:p>
        </w:tc>
        <w:tc>
          <w:tcPr>
            <w:tcW w:w="1479" w:type="dxa"/>
            <w:tcBorders>
              <w:bottom w:val="single" w:sz="4" w:space="0" w:color="auto"/>
            </w:tcBorders>
          </w:tcPr>
          <w:p w:rsidR="00C2688A" w:rsidRPr="00D40661" w:rsidRDefault="00C2688A" w:rsidP="00EA1363">
            <w:pPr>
              <w:ind w:left="27"/>
              <w:jc w:val="right"/>
            </w:pPr>
            <w:r w:rsidRPr="00D40661">
              <w:rPr>
                <w:color w:val="000000"/>
              </w:rPr>
              <w:t>971,052</w:t>
            </w:r>
          </w:p>
        </w:tc>
      </w:tr>
      <w:tr w:rsidR="00C2688A" w:rsidRPr="00D40661" w:rsidTr="004B6061">
        <w:trPr>
          <w:jc w:val="center"/>
        </w:trPr>
        <w:tc>
          <w:tcPr>
            <w:tcW w:w="5495" w:type="dxa"/>
          </w:tcPr>
          <w:p w:rsidR="00C2688A" w:rsidRPr="00C2688A" w:rsidRDefault="00C2688A" w:rsidP="00EA1363">
            <w:pPr>
              <w:ind w:left="27"/>
              <w:rPr>
                <w:b/>
              </w:rPr>
            </w:pPr>
            <w:r w:rsidRPr="00C2688A">
              <w:rPr>
                <w:b/>
                <w:bCs/>
                <w:color w:val="000000"/>
              </w:rPr>
              <w:t>Net Cash provided / (Used) by Operating Activities</w:t>
            </w:r>
          </w:p>
        </w:tc>
        <w:tc>
          <w:tcPr>
            <w:tcW w:w="1418" w:type="dxa"/>
            <w:tcBorders>
              <w:top w:val="single" w:sz="4" w:space="0" w:color="auto"/>
            </w:tcBorders>
          </w:tcPr>
          <w:p w:rsidR="00C2688A" w:rsidRPr="00D40661" w:rsidRDefault="00C2688A" w:rsidP="00EA1363">
            <w:pPr>
              <w:ind w:left="27"/>
              <w:jc w:val="right"/>
            </w:pPr>
            <w:r w:rsidRPr="00D40661">
              <w:rPr>
                <w:color w:val="000000"/>
              </w:rPr>
              <w:t>(</w:t>
            </w:r>
            <w:r>
              <w:rPr>
                <w:color w:val="000000"/>
              </w:rPr>
              <w:t>1,310,321</w:t>
            </w:r>
            <w:r w:rsidRPr="00D40661">
              <w:rPr>
                <w:color w:val="000000"/>
              </w:rPr>
              <w:t>)</w:t>
            </w:r>
          </w:p>
        </w:tc>
        <w:tc>
          <w:tcPr>
            <w:tcW w:w="1479" w:type="dxa"/>
            <w:tcBorders>
              <w:top w:val="single" w:sz="4" w:space="0" w:color="auto"/>
            </w:tcBorders>
          </w:tcPr>
          <w:p w:rsidR="00C2688A" w:rsidRPr="00D40661" w:rsidRDefault="00C2688A" w:rsidP="00EA1363">
            <w:pPr>
              <w:ind w:left="27"/>
              <w:jc w:val="right"/>
            </w:pPr>
            <w:r w:rsidRPr="00D40661">
              <w:rPr>
                <w:color w:val="000000"/>
              </w:rPr>
              <w:t>(606,914)</w:t>
            </w:r>
          </w:p>
        </w:tc>
      </w:tr>
      <w:tr w:rsidR="00C2688A" w:rsidRPr="00D40661" w:rsidTr="004B6061">
        <w:trPr>
          <w:jc w:val="center"/>
        </w:trPr>
        <w:tc>
          <w:tcPr>
            <w:tcW w:w="5495" w:type="dxa"/>
          </w:tcPr>
          <w:p w:rsidR="00C2688A" w:rsidRPr="00C2688A" w:rsidRDefault="00C2688A" w:rsidP="00EA1363">
            <w:pPr>
              <w:ind w:left="27"/>
              <w:rPr>
                <w:b/>
              </w:rPr>
            </w:pPr>
            <w:r w:rsidRPr="00C2688A">
              <w:rPr>
                <w:b/>
                <w:bCs/>
                <w:color w:val="000000"/>
              </w:rPr>
              <w:t>Cash Flows from Investing Activities</w:t>
            </w:r>
          </w:p>
        </w:tc>
        <w:tc>
          <w:tcPr>
            <w:tcW w:w="1418" w:type="dxa"/>
          </w:tcPr>
          <w:p w:rsidR="00C2688A" w:rsidRPr="00D40661" w:rsidRDefault="00C2688A" w:rsidP="00EA1363">
            <w:pPr>
              <w:ind w:left="27"/>
              <w:jc w:val="right"/>
            </w:pPr>
          </w:p>
        </w:tc>
        <w:tc>
          <w:tcPr>
            <w:tcW w:w="1479" w:type="dxa"/>
          </w:tcPr>
          <w:p w:rsidR="00C2688A" w:rsidRPr="00D40661" w:rsidRDefault="00C2688A" w:rsidP="00EA1363">
            <w:pPr>
              <w:ind w:left="27"/>
              <w:jc w:val="right"/>
            </w:pPr>
          </w:p>
        </w:tc>
      </w:tr>
      <w:tr w:rsidR="00C2688A" w:rsidRPr="00D40661" w:rsidTr="000234B1">
        <w:trPr>
          <w:jc w:val="center"/>
        </w:trPr>
        <w:tc>
          <w:tcPr>
            <w:tcW w:w="5495" w:type="dxa"/>
          </w:tcPr>
          <w:p w:rsidR="00C2688A" w:rsidRPr="00D40661" w:rsidRDefault="00C2688A" w:rsidP="00EA1363">
            <w:pPr>
              <w:ind w:left="27"/>
            </w:pPr>
            <w:r w:rsidRPr="00D40661">
              <w:t>Net proceeds (payment) for investment</w:t>
            </w:r>
          </w:p>
        </w:tc>
        <w:tc>
          <w:tcPr>
            <w:tcW w:w="1418" w:type="dxa"/>
          </w:tcPr>
          <w:p w:rsidR="00C2688A" w:rsidRPr="0008236F" w:rsidRDefault="00C2688A" w:rsidP="00EA1363">
            <w:pPr>
              <w:ind w:left="27"/>
              <w:jc w:val="right"/>
            </w:pPr>
            <w:r>
              <w:t>412,612</w:t>
            </w:r>
          </w:p>
        </w:tc>
        <w:tc>
          <w:tcPr>
            <w:tcW w:w="1479" w:type="dxa"/>
          </w:tcPr>
          <w:p w:rsidR="00C2688A" w:rsidRPr="00D40661" w:rsidRDefault="00C2688A" w:rsidP="00EA1363">
            <w:pPr>
              <w:ind w:left="27"/>
              <w:jc w:val="right"/>
            </w:pPr>
            <w:r w:rsidRPr="00D40661">
              <w:t>(516,842)</w:t>
            </w:r>
          </w:p>
        </w:tc>
      </w:tr>
      <w:tr w:rsidR="00C2688A" w:rsidRPr="00D40661" w:rsidTr="000234B1">
        <w:trPr>
          <w:jc w:val="center"/>
        </w:trPr>
        <w:tc>
          <w:tcPr>
            <w:tcW w:w="5495" w:type="dxa"/>
          </w:tcPr>
          <w:p w:rsidR="00C2688A" w:rsidRPr="00D40661" w:rsidRDefault="00C2688A" w:rsidP="00EA1363">
            <w:pPr>
              <w:ind w:left="27"/>
            </w:pPr>
            <w:r w:rsidRPr="00D40661">
              <w:t>Payment for property, plant and equipment</w:t>
            </w:r>
          </w:p>
        </w:tc>
        <w:tc>
          <w:tcPr>
            <w:tcW w:w="1418" w:type="dxa"/>
            <w:tcBorders>
              <w:bottom w:val="single" w:sz="4" w:space="0" w:color="auto"/>
            </w:tcBorders>
          </w:tcPr>
          <w:p w:rsidR="00C2688A" w:rsidRPr="00D40661" w:rsidRDefault="00C2688A" w:rsidP="00EA1363">
            <w:pPr>
              <w:ind w:left="27"/>
              <w:jc w:val="right"/>
            </w:pPr>
            <w:r w:rsidRPr="00D40661">
              <w:t>(</w:t>
            </w:r>
            <w:r>
              <w:t>116,892</w:t>
            </w:r>
            <w:r w:rsidRPr="00D40661">
              <w:t>)</w:t>
            </w:r>
          </w:p>
        </w:tc>
        <w:tc>
          <w:tcPr>
            <w:tcW w:w="1479" w:type="dxa"/>
            <w:tcBorders>
              <w:bottom w:val="single" w:sz="4" w:space="0" w:color="auto"/>
            </w:tcBorders>
          </w:tcPr>
          <w:p w:rsidR="00C2688A" w:rsidRPr="00D40661" w:rsidRDefault="00C2688A" w:rsidP="00EA1363">
            <w:pPr>
              <w:ind w:left="27"/>
              <w:jc w:val="right"/>
            </w:pPr>
            <w:r w:rsidRPr="00D40661">
              <w:t>(274,929)</w:t>
            </w:r>
          </w:p>
        </w:tc>
      </w:tr>
      <w:tr w:rsidR="00C2688A" w:rsidRPr="00D40661" w:rsidTr="000234B1">
        <w:trPr>
          <w:jc w:val="center"/>
        </w:trPr>
        <w:tc>
          <w:tcPr>
            <w:tcW w:w="5495" w:type="dxa"/>
          </w:tcPr>
          <w:p w:rsidR="00C2688A" w:rsidRPr="00C2688A" w:rsidRDefault="00C2688A" w:rsidP="00EA1363">
            <w:pPr>
              <w:ind w:left="27"/>
              <w:rPr>
                <w:b/>
              </w:rPr>
            </w:pPr>
            <w:r w:rsidRPr="00C2688A">
              <w:rPr>
                <w:b/>
              </w:rPr>
              <w:t>Net cash provided / (Used) by investing activities</w:t>
            </w:r>
          </w:p>
        </w:tc>
        <w:tc>
          <w:tcPr>
            <w:tcW w:w="1418" w:type="dxa"/>
            <w:tcBorders>
              <w:top w:val="single" w:sz="4" w:space="0" w:color="auto"/>
              <w:bottom w:val="single" w:sz="4" w:space="0" w:color="auto"/>
            </w:tcBorders>
          </w:tcPr>
          <w:p w:rsidR="00C2688A" w:rsidRPr="00D40661" w:rsidRDefault="00C2688A" w:rsidP="00EA1363">
            <w:pPr>
              <w:ind w:left="27"/>
              <w:jc w:val="right"/>
            </w:pPr>
            <w:r>
              <w:t>295,720</w:t>
            </w:r>
          </w:p>
        </w:tc>
        <w:tc>
          <w:tcPr>
            <w:tcW w:w="1479" w:type="dxa"/>
            <w:tcBorders>
              <w:top w:val="single" w:sz="4" w:space="0" w:color="auto"/>
              <w:bottom w:val="single" w:sz="4" w:space="0" w:color="auto"/>
            </w:tcBorders>
          </w:tcPr>
          <w:p w:rsidR="00C2688A" w:rsidRPr="00D40661" w:rsidRDefault="00C2688A" w:rsidP="00EA1363">
            <w:pPr>
              <w:ind w:left="27"/>
              <w:jc w:val="right"/>
            </w:pPr>
            <w:r w:rsidRPr="00D40661">
              <w:t>(791,771)</w:t>
            </w:r>
          </w:p>
        </w:tc>
      </w:tr>
      <w:tr w:rsidR="00C2688A" w:rsidRPr="00D40661" w:rsidTr="000234B1">
        <w:trPr>
          <w:jc w:val="center"/>
        </w:trPr>
        <w:tc>
          <w:tcPr>
            <w:tcW w:w="5495" w:type="dxa"/>
          </w:tcPr>
          <w:p w:rsidR="00C2688A" w:rsidRPr="00D40661" w:rsidRDefault="00C2688A" w:rsidP="00EA1363">
            <w:pPr>
              <w:ind w:left="27"/>
            </w:pPr>
            <w:r w:rsidRPr="00D40661">
              <w:rPr>
                <w:color w:val="000000"/>
              </w:rPr>
              <w:t>Net decrease / (Decrease) in Cash Held</w:t>
            </w:r>
          </w:p>
        </w:tc>
        <w:tc>
          <w:tcPr>
            <w:tcW w:w="1418" w:type="dxa"/>
            <w:tcBorders>
              <w:top w:val="single" w:sz="4" w:space="0" w:color="auto"/>
            </w:tcBorders>
          </w:tcPr>
          <w:p w:rsidR="00C2688A" w:rsidRPr="00D40661" w:rsidRDefault="00C2688A" w:rsidP="00EA1363">
            <w:pPr>
              <w:ind w:left="27"/>
              <w:jc w:val="right"/>
            </w:pPr>
            <w:r w:rsidRPr="00D40661">
              <w:rPr>
                <w:color w:val="000000"/>
              </w:rPr>
              <w:t>(</w:t>
            </w:r>
            <w:r>
              <w:rPr>
                <w:color w:val="000000"/>
              </w:rPr>
              <w:t>1,014,601</w:t>
            </w:r>
            <w:r w:rsidRPr="00D40661">
              <w:rPr>
                <w:color w:val="000000"/>
              </w:rPr>
              <w:t>)</w:t>
            </w:r>
          </w:p>
        </w:tc>
        <w:tc>
          <w:tcPr>
            <w:tcW w:w="1479" w:type="dxa"/>
            <w:tcBorders>
              <w:top w:val="single" w:sz="4" w:space="0" w:color="auto"/>
            </w:tcBorders>
          </w:tcPr>
          <w:p w:rsidR="00C2688A" w:rsidRPr="00D40661" w:rsidRDefault="00C2688A" w:rsidP="00EA1363">
            <w:pPr>
              <w:ind w:left="27"/>
              <w:jc w:val="right"/>
            </w:pPr>
            <w:r w:rsidRPr="00D40661">
              <w:rPr>
                <w:color w:val="000000"/>
              </w:rPr>
              <w:t>(1,398,685)</w:t>
            </w:r>
          </w:p>
        </w:tc>
      </w:tr>
      <w:tr w:rsidR="00C2688A" w:rsidRPr="00D40661" w:rsidTr="000234B1">
        <w:trPr>
          <w:jc w:val="center"/>
        </w:trPr>
        <w:tc>
          <w:tcPr>
            <w:tcW w:w="5495" w:type="dxa"/>
          </w:tcPr>
          <w:p w:rsidR="00C2688A" w:rsidRPr="00C2688A" w:rsidRDefault="00C2688A" w:rsidP="00EA1363">
            <w:pPr>
              <w:ind w:left="27"/>
            </w:pPr>
            <w:r w:rsidRPr="00C2688A">
              <w:rPr>
                <w:color w:val="000000"/>
              </w:rPr>
              <w:t>Cash at the beginning of the financial year</w:t>
            </w:r>
          </w:p>
        </w:tc>
        <w:tc>
          <w:tcPr>
            <w:tcW w:w="1418" w:type="dxa"/>
          </w:tcPr>
          <w:p w:rsidR="00C2688A" w:rsidRPr="00D40661" w:rsidRDefault="00C2688A" w:rsidP="00EA1363">
            <w:pPr>
              <w:ind w:left="27"/>
              <w:jc w:val="right"/>
            </w:pPr>
            <w:r>
              <w:rPr>
                <w:color w:val="000000"/>
              </w:rPr>
              <w:t>2,426,112</w:t>
            </w:r>
          </w:p>
        </w:tc>
        <w:tc>
          <w:tcPr>
            <w:tcW w:w="1479" w:type="dxa"/>
          </w:tcPr>
          <w:p w:rsidR="00C2688A" w:rsidRPr="00D40661" w:rsidRDefault="00C2688A" w:rsidP="00EA1363">
            <w:pPr>
              <w:ind w:left="27"/>
              <w:jc w:val="right"/>
            </w:pPr>
            <w:r w:rsidRPr="00D40661">
              <w:rPr>
                <w:color w:val="000000"/>
              </w:rPr>
              <w:t>3,824,797</w:t>
            </w:r>
          </w:p>
        </w:tc>
      </w:tr>
      <w:tr w:rsidR="00C2688A" w:rsidRPr="00D40661" w:rsidTr="000234B1">
        <w:trPr>
          <w:jc w:val="center"/>
        </w:trPr>
        <w:tc>
          <w:tcPr>
            <w:tcW w:w="5495" w:type="dxa"/>
          </w:tcPr>
          <w:p w:rsidR="00C2688A" w:rsidRPr="00C2688A" w:rsidRDefault="00C2688A" w:rsidP="00EA1363">
            <w:pPr>
              <w:ind w:left="27"/>
              <w:rPr>
                <w:b/>
              </w:rPr>
            </w:pPr>
            <w:r w:rsidRPr="00C2688A">
              <w:rPr>
                <w:b/>
                <w:bCs/>
                <w:color w:val="000000"/>
              </w:rPr>
              <w:t>Cash and Cash Equivalents as at 30 June 2013</w:t>
            </w:r>
          </w:p>
        </w:tc>
        <w:tc>
          <w:tcPr>
            <w:tcW w:w="1418" w:type="dxa"/>
            <w:tcBorders>
              <w:top w:val="single" w:sz="4" w:space="0" w:color="auto"/>
              <w:bottom w:val="double" w:sz="4" w:space="0" w:color="auto"/>
            </w:tcBorders>
          </w:tcPr>
          <w:p w:rsidR="00C2688A" w:rsidRPr="00D40661" w:rsidRDefault="00C2688A" w:rsidP="00EA1363">
            <w:pPr>
              <w:ind w:left="27"/>
              <w:jc w:val="right"/>
            </w:pPr>
            <w:r>
              <w:rPr>
                <w:color w:val="000000"/>
              </w:rPr>
              <w:t>1,411,511</w:t>
            </w:r>
          </w:p>
        </w:tc>
        <w:tc>
          <w:tcPr>
            <w:tcW w:w="1479" w:type="dxa"/>
            <w:tcBorders>
              <w:top w:val="single" w:sz="4" w:space="0" w:color="auto"/>
              <w:bottom w:val="double" w:sz="4" w:space="0" w:color="auto"/>
            </w:tcBorders>
          </w:tcPr>
          <w:p w:rsidR="00C2688A" w:rsidRPr="00D40661" w:rsidRDefault="00C2688A" w:rsidP="00EA1363">
            <w:pPr>
              <w:ind w:left="27"/>
              <w:jc w:val="right"/>
            </w:pPr>
            <w:r w:rsidRPr="00D40661">
              <w:rPr>
                <w:color w:val="000000"/>
              </w:rPr>
              <w:t>2,426,112</w:t>
            </w:r>
          </w:p>
        </w:tc>
      </w:tr>
    </w:tbl>
    <w:p w:rsidR="00D2400B" w:rsidRPr="00C2688A" w:rsidRDefault="00D2400B" w:rsidP="00712543">
      <w:pPr>
        <w:pStyle w:val="Quote"/>
        <w:spacing w:before="5280"/>
        <w:jc w:val="center"/>
        <w:sectPr w:rsidR="00D2400B" w:rsidRPr="00C2688A" w:rsidSect="00712543">
          <w:pgSz w:w="11904" w:h="16836"/>
          <w:pgMar w:top="1440" w:right="1440" w:bottom="1440" w:left="1440" w:header="720" w:footer="0" w:gutter="0"/>
          <w:cols w:space="720"/>
          <w:noEndnote/>
          <w:docGrid w:linePitch="299"/>
        </w:sectPr>
      </w:pPr>
      <w:r w:rsidRPr="00C2688A">
        <w:t>The accompanying notes form part of these financial statements</w:t>
      </w:r>
    </w:p>
    <w:p w:rsidR="00D2400B" w:rsidRPr="003226E6" w:rsidRDefault="00D2400B" w:rsidP="008841DC">
      <w:pPr>
        <w:pStyle w:val="Heading1"/>
        <w:rPr>
          <w:sz w:val="24"/>
          <w:szCs w:val="24"/>
        </w:rPr>
      </w:pPr>
      <w:bookmarkStart w:id="8" w:name="_Toc370126169"/>
      <w:r w:rsidRPr="003226E6">
        <w:lastRenderedPageBreak/>
        <w:t>Notes to the Financial Statements</w:t>
      </w:r>
      <w:bookmarkEnd w:id="8"/>
    </w:p>
    <w:p w:rsidR="00D2400B" w:rsidRPr="00C2688A" w:rsidRDefault="00D2400B" w:rsidP="003D78CD">
      <w:pPr>
        <w:rPr>
          <w:b/>
          <w:sz w:val="24"/>
          <w:szCs w:val="24"/>
        </w:rPr>
      </w:pPr>
      <w:r w:rsidRPr="00C2688A">
        <w:rPr>
          <w:b/>
        </w:rPr>
        <w:t>For the Year ended 30 June 2013</w:t>
      </w:r>
    </w:p>
    <w:p w:rsidR="00D2400B" w:rsidRPr="008855E5" w:rsidRDefault="003D78CD" w:rsidP="003D78CD">
      <w:pPr>
        <w:pStyle w:val="Heading2"/>
        <w:rPr>
          <w:b w:val="0"/>
        </w:rPr>
      </w:pPr>
      <w:r>
        <w:rPr>
          <w:b w:val="0"/>
        </w:rPr>
        <w:t>1.</w:t>
      </w:r>
      <w:r>
        <w:rPr>
          <w:b w:val="0"/>
        </w:rPr>
        <w:tab/>
      </w:r>
      <w:r w:rsidR="00FD0325" w:rsidRPr="008855E5">
        <w:rPr>
          <w:b w:val="0"/>
        </w:rPr>
        <w:t>Statement of significant accounting policies</w:t>
      </w:r>
    </w:p>
    <w:p w:rsidR="00D2400B" w:rsidRPr="008855E5" w:rsidRDefault="00D2400B" w:rsidP="003D78CD">
      <w:pPr>
        <w:ind w:left="76"/>
        <w:rPr>
          <w:sz w:val="28"/>
          <w:szCs w:val="24"/>
          <w:u w:val="single"/>
        </w:rPr>
      </w:pPr>
      <w:r w:rsidRPr="008855E5">
        <w:rPr>
          <w:sz w:val="24"/>
          <w:u w:val="single"/>
        </w:rPr>
        <w:t>Basis of Preparation</w:t>
      </w:r>
    </w:p>
    <w:p w:rsidR="00D2400B" w:rsidRDefault="00D2400B" w:rsidP="003D78CD">
      <w:pPr>
        <w:ind w:left="76"/>
      </w:pPr>
      <w:r>
        <w:t>The financial report is a general purpose financial report that has been prepared in accordance with Australian Accounting Standards (including Australian Accounting Interpretations) and the Corporations Act 2001.</w:t>
      </w:r>
    </w:p>
    <w:p w:rsidR="00D2400B" w:rsidRDefault="00D2400B" w:rsidP="003D78CD">
      <w:pPr>
        <w:ind w:left="76"/>
      </w:pPr>
      <w:r>
        <w:t>Australian Accounting Standards set out accounting policies that the AASB has concluded would result in a financial report containing relevant and reliable information about transactions, events and conditions. Compliance with Australian Accounting Standards ensures that the financial statements and notes also comply with International Financial Reporting Standards. Material accounting policies adopted in the preparation of this financial report are presented below and have been consistently applied unless otherwise stated.</w:t>
      </w:r>
    </w:p>
    <w:p w:rsidR="00D2400B" w:rsidRPr="00FD0325" w:rsidRDefault="00D2400B" w:rsidP="003D78CD">
      <w:pPr>
        <w:ind w:left="76"/>
      </w:pPr>
      <w:r>
        <w:t>The financial report has been prepared on an accruals basis and is based on historical costs, modified, where applicable, by the measurement at fair value of selected non-current assets, financial assets and financial liabilities.</w:t>
      </w:r>
    </w:p>
    <w:p w:rsidR="00D2400B" w:rsidRDefault="00D2400B" w:rsidP="003D78CD">
      <w:pPr>
        <w:ind w:left="76"/>
      </w:pPr>
      <w:r w:rsidRPr="00D16AD1">
        <w:t>The accounting policies that have been adopted in the preparation of this report are as follows:</w:t>
      </w:r>
    </w:p>
    <w:p w:rsidR="00FD0325" w:rsidRPr="0083231D" w:rsidRDefault="00FD0325" w:rsidP="003D78CD">
      <w:pPr>
        <w:pStyle w:val="Heading3"/>
        <w:numPr>
          <w:ilvl w:val="1"/>
          <w:numId w:val="13"/>
        </w:numPr>
        <w:ind w:left="1527"/>
      </w:pPr>
      <w:r w:rsidRPr="0083231D">
        <w:t>Revenue</w:t>
      </w:r>
    </w:p>
    <w:p w:rsidR="00D2400B" w:rsidRPr="00403F30" w:rsidRDefault="00D2400B" w:rsidP="003D78CD">
      <w:pPr>
        <w:ind w:left="76"/>
      </w:pPr>
      <w:r w:rsidRPr="00403F30">
        <w:t>Grant revenue is recogni</w:t>
      </w:r>
      <w:r>
        <w:t>s</w:t>
      </w:r>
      <w:r w:rsidRPr="00403F30">
        <w:t xml:space="preserve">ed in the income statement when it is controlled. When there are conditions attached to grant revenue relating to the use of those grants </w:t>
      </w:r>
      <w:r>
        <w:t>for specific purpose it is recogni</w:t>
      </w:r>
      <w:r w:rsidRPr="00403F30">
        <w:t>sed</w:t>
      </w:r>
      <w:r>
        <w:t xml:space="preserve"> </w:t>
      </w:r>
      <w:r w:rsidRPr="00403F30">
        <w:t>in the balance sheet as a liability until such conditions are met or services provided.</w:t>
      </w:r>
    </w:p>
    <w:p w:rsidR="00D2400B" w:rsidRPr="00403F30" w:rsidRDefault="00D2400B" w:rsidP="003D78CD">
      <w:pPr>
        <w:ind w:left="76"/>
      </w:pPr>
      <w:r w:rsidRPr="00403F30">
        <w:t>Don</w:t>
      </w:r>
      <w:r>
        <w:t>ations and bequests are recognis</w:t>
      </w:r>
      <w:r w:rsidRPr="00403F30">
        <w:t>ed as revenue when received unless they are designated</w:t>
      </w:r>
      <w:r>
        <w:t xml:space="preserve"> </w:t>
      </w:r>
      <w:r w:rsidRPr="00403F30">
        <w:t>for a specific purpose, where they are carried forward as prepaid income on the balance sheet.</w:t>
      </w:r>
    </w:p>
    <w:p w:rsidR="00D2400B" w:rsidRPr="00403F30" w:rsidRDefault="00D2400B" w:rsidP="003D78CD">
      <w:pPr>
        <w:ind w:left="76"/>
      </w:pPr>
      <w:r w:rsidRPr="00403F30">
        <w:t>Interest revenue and distribution inc</w:t>
      </w:r>
      <w:r>
        <w:t>ome from investments is recognis</w:t>
      </w:r>
      <w:r w:rsidRPr="00403F30">
        <w:t>ed on a proportional</w:t>
      </w:r>
      <w:r>
        <w:t xml:space="preserve"> </w:t>
      </w:r>
      <w:r w:rsidRPr="00403F30">
        <w:t>basis taking into account the interest rates applicable to the financial assets.</w:t>
      </w:r>
    </w:p>
    <w:p w:rsidR="00D2400B" w:rsidRPr="00403F30" w:rsidRDefault="00D2400B" w:rsidP="003D78CD">
      <w:pPr>
        <w:ind w:left="76"/>
      </w:pPr>
      <w:r w:rsidRPr="00403F30">
        <w:t>Revenue from the rendering of a service is recogni</w:t>
      </w:r>
      <w:r>
        <w:t>s</w:t>
      </w:r>
      <w:r w:rsidRPr="00403F30">
        <w:t>ed upon the delivery of the service to the customers.</w:t>
      </w:r>
    </w:p>
    <w:p w:rsidR="00D2400B" w:rsidRPr="00403F30" w:rsidRDefault="00D2400B" w:rsidP="003D78CD">
      <w:pPr>
        <w:ind w:left="76"/>
        <w:rPr>
          <w:highlight w:val="yellow"/>
        </w:rPr>
      </w:pPr>
      <w:r w:rsidRPr="00403F30">
        <w:t>All revenue is stated net of the amount of goods and services tax (GST).</w:t>
      </w:r>
    </w:p>
    <w:p w:rsidR="00D2400B" w:rsidRDefault="00D2400B" w:rsidP="00712543">
      <w:pPr>
        <w:pStyle w:val="Quote"/>
        <w:spacing w:before="1200" w:after="100" w:afterAutospacing="1"/>
        <w:jc w:val="center"/>
      </w:pPr>
      <w:r w:rsidRPr="00FD0325">
        <w:t>These notes form part of the financial statements</w:t>
      </w:r>
      <w:r>
        <w:br w:type="page"/>
      </w:r>
    </w:p>
    <w:p w:rsidR="00D2400B" w:rsidRPr="00E171F7" w:rsidRDefault="00D2400B" w:rsidP="008841DC">
      <w:pPr>
        <w:spacing w:before="480" w:after="0"/>
        <w:rPr>
          <w:sz w:val="48"/>
        </w:rPr>
      </w:pPr>
      <w:r w:rsidRPr="00E171F7">
        <w:rPr>
          <w:sz w:val="48"/>
        </w:rPr>
        <w:lastRenderedPageBreak/>
        <w:t>Notes to the Financial Statements</w:t>
      </w:r>
    </w:p>
    <w:p w:rsidR="00D2400B" w:rsidRPr="00E171F7" w:rsidRDefault="00D2400B" w:rsidP="003D78CD">
      <w:pPr>
        <w:rPr>
          <w:b/>
        </w:rPr>
      </w:pPr>
      <w:r w:rsidRPr="00E171F7">
        <w:rPr>
          <w:b/>
        </w:rPr>
        <w:t>For the Year ended 30 June 2013</w:t>
      </w:r>
    </w:p>
    <w:p w:rsidR="00D2400B" w:rsidRPr="000C7DE9" w:rsidRDefault="008841DC" w:rsidP="008841DC">
      <w:pPr>
        <w:widowControl w:val="0"/>
        <w:tabs>
          <w:tab w:val="left" w:pos="709"/>
          <w:tab w:val="left" w:pos="1729"/>
        </w:tabs>
        <w:autoSpaceDE w:val="0"/>
        <w:autoSpaceDN w:val="0"/>
        <w:adjustRightInd w:val="0"/>
        <w:spacing w:before="200" w:after="0" w:line="240" w:lineRule="auto"/>
        <w:ind w:right="-615"/>
        <w:rPr>
          <w:rFonts w:cstheme="minorHAnsi"/>
          <w:color w:val="000000"/>
          <w:sz w:val="36"/>
        </w:rPr>
      </w:pPr>
      <w:r>
        <w:rPr>
          <w:rFonts w:cstheme="minorHAnsi"/>
          <w:bCs/>
          <w:color w:val="000000"/>
          <w:sz w:val="36"/>
        </w:rPr>
        <w:t>1.</w:t>
      </w:r>
      <w:r>
        <w:rPr>
          <w:rFonts w:cstheme="minorHAnsi"/>
          <w:bCs/>
          <w:color w:val="000000"/>
          <w:sz w:val="36"/>
        </w:rPr>
        <w:tab/>
      </w:r>
      <w:r w:rsidR="008855E5" w:rsidRPr="008841DC">
        <w:rPr>
          <w:rFonts w:cstheme="minorHAnsi"/>
          <w:bCs/>
          <w:color w:val="000000"/>
          <w:sz w:val="36"/>
        </w:rPr>
        <w:t>Statement of significant accounting policies (continued)</w:t>
      </w:r>
    </w:p>
    <w:p w:rsidR="008841DC" w:rsidRPr="0083231D" w:rsidRDefault="008841DC" w:rsidP="008841DC">
      <w:pPr>
        <w:pStyle w:val="Heading3"/>
        <w:numPr>
          <w:ilvl w:val="1"/>
          <w:numId w:val="13"/>
        </w:numPr>
        <w:ind w:left="1527"/>
      </w:pPr>
      <w:r w:rsidRPr="00FD0325">
        <w:t>Cash and Cash Equivalents</w:t>
      </w:r>
    </w:p>
    <w:p w:rsidR="008841DC" w:rsidRPr="00FD0325" w:rsidRDefault="008841DC" w:rsidP="008841DC">
      <w:pPr>
        <w:spacing w:after="0"/>
        <w:ind w:left="76"/>
      </w:pPr>
      <w:r w:rsidRPr="00FD0325">
        <w:t>Cash and cash equivalents include cash on hand, deposits held at call with banks, other short-term highly liquid investments with original maturities of three months or less, and bank overdrafts.</w:t>
      </w:r>
    </w:p>
    <w:p w:rsidR="00D24DFC" w:rsidRPr="0083231D" w:rsidRDefault="00D2400B" w:rsidP="00D24DFC">
      <w:pPr>
        <w:pStyle w:val="Heading3"/>
        <w:numPr>
          <w:ilvl w:val="1"/>
          <w:numId w:val="13"/>
        </w:numPr>
        <w:spacing w:before="200"/>
        <w:ind w:left="1527"/>
      </w:pPr>
      <w:r w:rsidRPr="00E171F7">
        <w:t>Property, Plant and Equipment</w:t>
      </w:r>
    </w:p>
    <w:p w:rsidR="00D2400B" w:rsidRDefault="00D2400B" w:rsidP="003D78CD">
      <w:r>
        <w:t>Each class of property, plant and equipment is carried at cost o</w:t>
      </w:r>
      <w:r w:rsidR="00E171F7">
        <w:t xml:space="preserve">r fair value as indicated less, </w:t>
      </w:r>
      <w:r>
        <w:t>where applicable, any accumulated depreciation and impairment losses.</w:t>
      </w:r>
    </w:p>
    <w:p w:rsidR="00D2400B" w:rsidRDefault="00D2400B" w:rsidP="002419C9">
      <w:pPr>
        <w:rPr>
          <w:sz w:val="24"/>
          <w:szCs w:val="24"/>
        </w:rPr>
      </w:pPr>
      <w:r>
        <w:rPr>
          <w:u w:val="single"/>
        </w:rPr>
        <w:t>Plant and Equipment</w:t>
      </w:r>
    </w:p>
    <w:p w:rsidR="00D2400B" w:rsidRDefault="00D2400B" w:rsidP="002419C9">
      <w:pPr>
        <w:rPr>
          <w:sz w:val="24"/>
          <w:szCs w:val="24"/>
        </w:rPr>
      </w:pPr>
      <w:r>
        <w:t xml:space="preserve">Plant and equipment are measured on the cost basis less depreciation and impairment losses. </w:t>
      </w:r>
    </w:p>
    <w:p w:rsidR="00D2400B" w:rsidRDefault="00D2400B" w:rsidP="002419C9">
      <w:r>
        <w:t>The carrying amount of plant and equipment is reviewed annually by directors to ensure it is not in excess of the recoverable amount from these assets. The recoverable amount is assessed on the basis of the expected net cash flows that will be received from the assets’ employment and subsequent disposal. The expected net cash flows have been discounted to their present values in determining recoverable amounts.</w:t>
      </w:r>
    </w:p>
    <w:p w:rsidR="00D2400B" w:rsidRDefault="00D2400B" w:rsidP="002419C9">
      <w:r>
        <w:t>Plant and equipment that have been contributed at no cost or for nominal cost are valued at the fair value of the asset at the date it is acquired.</w:t>
      </w:r>
    </w:p>
    <w:p w:rsidR="00D2400B" w:rsidRDefault="00D2400B" w:rsidP="002419C9">
      <w:r>
        <w:t xml:space="preserve">Increases in the carrying amount arising on revaluation of land and building are credited to a revaluation reserve in equity. Decreases that offset previous increases of the same class of assets are charged against fair value reserves directly in equity; all other decreases are charged to the income statement. Each year the difference between depreciation based on the </w:t>
      </w:r>
      <w:proofErr w:type="spellStart"/>
      <w:r>
        <w:t>revalued</w:t>
      </w:r>
      <w:proofErr w:type="spellEnd"/>
      <w:r>
        <w:t xml:space="preserve"> carrying amount of the asset charged to the income statement and depreciation based on the </w:t>
      </w:r>
      <w:proofErr w:type="spellStart"/>
      <w:r>
        <w:t>revalued</w:t>
      </w:r>
      <w:proofErr w:type="spellEnd"/>
      <w:r>
        <w:t xml:space="preserve"> carrying amount of the asset charged to the income statement and depreciation based on the asset’s original cost is transferred from the revaluation reserve to retained earnings. </w:t>
      </w:r>
    </w:p>
    <w:p w:rsidR="00D2400B" w:rsidRDefault="00D2400B" w:rsidP="002419C9">
      <w:pPr>
        <w:rPr>
          <w:u w:val="single"/>
        </w:rPr>
      </w:pPr>
      <w:r>
        <w:rPr>
          <w:u w:val="single"/>
        </w:rPr>
        <w:t>Depreciation</w:t>
      </w:r>
    </w:p>
    <w:p w:rsidR="00D2400B" w:rsidRDefault="00D2400B" w:rsidP="002419C9">
      <w:r>
        <w:t>The depreciable amount of all fixed assets including building and capitalised lease assets, but excluding freehold land, is depreciated on a straight line basis over their useful lives to the entity commencing from the time the asset is held ready for use. Leasehold improvements are depreciated over the shorter of either the unexpired period of the lease or the estimated useful lives of the improvements.</w:t>
      </w:r>
    </w:p>
    <w:p w:rsidR="008841DC" w:rsidRDefault="008841DC" w:rsidP="00712543">
      <w:pPr>
        <w:spacing w:before="960" w:after="0"/>
        <w:jc w:val="center"/>
        <w:rPr>
          <w:rFonts w:ascii="Times New Roman" w:hAnsi="Times New Roman"/>
          <w:color w:val="000000"/>
        </w:rPr>
      </w:pPr>
      <w:r w:rsidRPr="00E171F7">
        <w:rPr>
          <w:i/>
          <w:color w:val="000000" w:themeColor="text1"/>
        </w:rPr>
        <w:t>T</w:t>
      </w:r>
      <w:r w:rsidRPr="00E171F7">
        <w:rPr>
          <w:i/>
          <w:iCs/>
          <w:color w:val="000000" w:themeColor="text1"/>
        </w:rPr>
        <w:t>hese notes form part of the financial statements</w:t>
      </w:r>
      <w:r>
        <w:rPr>
          <w:rFonts w:ascii="Times New Roman" w:hAnsi="Times New Roman"/>
          <w:color w:val="000000"/>
        </w:rPr>
        <w:br w:type="page"/>
      </w:r>
    </w:p>
    <w:p w:rsidR="00D24DFC" w:rsidRPr="00E171F7" w:rsidRDefault="00D24DFC" w:rsidP="00D24DFC">
      <w:pPr>
        <w:spacing w:before="480" w:after="0"/>
        <w:rPr>
          <w:sz w:val="48"/>
        </w:rPr>
      </w:pPr>
      <w:r w:rsidRPr="00E171F7">
        <w:rPr>
          <w:sz w:val="48"/>
        </w:rPr>
        <w:lastRenderedPageBreak/>
        <w:t>Notes to the Financial Statements</w:t>
      </w:r>
    </w:p>
    <w:p w:rsidR="00D24DFC" w:rsidRPr="00E171F7" w:rsidRDefault="00D24DFC" w:rsidP="00D24DFC">
      <w:pPr>
        <w:rPr>
          <w:b/>
        </w:rPr>
      </w:pPr>
      <w:r w:rsidRPr="00E171F7">
        <w:rPr>
          <w:b/>
        </w:rPr>
        <w:t>For the Year ended 30 June 2013</w:t>
      </w:r>
    </w:p>
    <w:p w:rsidR="00D24DFC" w:rsidRPr="000C7DE9" w:rsidRDefault="00D24DFC" w:rsidP="00D24DFC">
      <w:pPr>
        <w:widowControl w:val="0"/>
        <w:tabs>
          <w:tab w:val="left" w:pos="709"/>
          <w:tab w:val="left" w:pos="1729"/>
        </w:tabs>
        <w:autoSpaceDE w:val="0"/>
        <w:autoSpaceDN w:val="0"/>
        <w:adjustRightInd w:val="0"/>
        <w:spacing w:before="200" w:after="0" w:line="240" w:lineRule="auto"/>
        <w:ind w:right="-615"/>
        <w:rPr>
          <w:rFonts w:cstheme="minorHAnsi"/>
          <w:color w:val="000000"/>
          <w:sz w:val="36"/>
        </w:rPr>
      </w:pPr>
      <w:r>
        <w:rPr>
          <w:rFonts w:cstheme="minorHAnsi"/>
          <w:bCs/>
          <w:color w:val="000000"/>
          <w:sz w:val="36"/>
        </w:rPr>
        <w:t>1.</w:t>
      </w:r>
      <w:r>
        <w:rPr>
          <w:rFonts w:cstheme="minorHAnsi"/>
          <w:bCs/>
          <w:color w:val="000000"/>
          <w:sz w:val="36"/>
        </w:rPr>
        <w:tab/>
      </w:r>
      <w:r w:rsidRPr="008841DC">
        <w:rPr>
          <w:rFonts w:cstheme="minorHAnsi"/>
          <w:bCs/>
          <w:color w:val="000000"/>
          <w:sz w:val="36"/>
        </w:rPr>
        <w:t>Statement of significant accounting policies (continued)</w:t>
      </w:r>
    </w:p>
    <w:p w:rsidR="00D2400B" w:rsidRDefault="00D2400B" w:rsidP="007E4389">
      <w:pPr>
        <w:spacing w:before="240"/>
        <w:rPr>
          <w:sz w:val="24"/>
          <w:szCs w:val="24"/>
        </w:rPr>
      </w:pPr>
      <w:r>
        <w:t>The depreciation rates used for each class of depreciable asset are:</w:t>
      </w:r>
    </w:p>
    <w:p w:rsidR="00D2400B" w:rsidRPr="00E171F7" w:rsidRDefault="00D2400B" w:rsidP="002419C9">
      <w:pPr>
        <w:pStyle w:val="ListParagraph"/>
        <w:numPr>
          <w:ilvl w:val="0"/>
          <w:numId w:val="15"/>
        </w:numPr>
        <w:ind w:left="720"/>
        <w:rPr>
          <w:sz w:val="24"/>
          <w:szCs w:val="24"/>
        </w:rPr>
      </w:pPr>
      <w:r w:rsidRPr="00002668">
        <w:t>Office Equipment</w:t>
      </w:r>
      <w:r w:rsidR="00E171F7">
        <w:rPr>
          <w:sz w:val="24"/>
          <w:szCs w:val="24"/>
        </w:rPr>
        <w:t xml:space="preserve">, </w:t>
      </w:r>
      <w:r w:rsidRPr="00002668">
        <w:t>25 %</w:t>
      </w:r>
    </w:p>
    <w:p w:rsidR="00D2400B" w:rsidRPr="00E171F7" w:rsidRDefault="00D2400B" w:rsidP="002419C9">
      <w:pPr>
        <w:pStyle w:val="ListParagraph"/>
        <w:numPr>
          <w:ilvl w:val="0"/>
          <w:numId w:val="15"/>
        </w:numPr>
        <w:ind w:left="720"/>
        <w:rPr>
          <w:sz w:val="24"/>
          <w:szCs w:val="24"/>
        </w:rPr>
      </w:pPr>
      <w:r w:rsidRPr="00002668">
        <w:t>Furniture</w:t>
      </w:r>
      <w:r w:rsidR="00E171F7">
        <w:rPr>
          <w:sz w:val="24"/>
          <w:szCs w:val="24"/>
        </w:rPr>
        <w:t xml:space="preserve">, </w:t>
      </w:r>
      <w:r w:rsidRPr="00002668">
        <w:t>20 %</w:t>
      </w:r>
    </w:p>
    <w:p w:rsidR="00D2400B" w:rsidRPr="00E171F7" w:rsidRDefault="00D2400B" w:rsidP="002419C9">
      <w:pPr>
        <w:pStyle w:val="ListParagraph"/>
        <w:numPr>
          <w:ilvl w:val="0"/>
          <w:numId w:val="15"/>
        </w:numPr>
        <w:ind w:left="720"/>
        <w:rPr>
          <w:sz w:val="24"/>
          <w:szCs w:val="24"/>
        </w:rPr>
      </w:pPr>
      <w:r w:rsidRPr="00002668">
        <w:t>Motor Vehicle</w:t>
      </w:r>
      <w:r w:rsidR="00E171F7">
        <w:rPr>
          <w:sz w:val="24"/>
          <w:szCs w:val="24"/>
        </w:rPr>
        <w:t>,</w:t>
      </w:r>
      <w:r w:rsidRPr="00002668">
        <w:t>17 %</w:t>
      </w:r>
    </w:p>
    <w:p w:rsidR="00D2400B" w:rsidRPr="00E171F7" w:rsidRDefault="00E171F7" w:rsidP="002419C9">
      <w:pPr>
        <w:pStyle w:val="ListParagraph"/>
        <w:numPr>
          <w:ilvl w:val="0"/>
          <w:numId w:val="15"/>
        </w:numPr>
        <w:ind w:left="720"/>
        <w:rPr>
          <w:sz w:val="24"/>
          <w:szCs w:val="24"/>
        </w:rPr>
      </w:pPr>
      <w:r>
        <w:t xml:space="preserve">Software, </w:t>
      </w:r>
      <w:r w:rsidR="00D2400B" w:rsidRPr="00002668">
        <w:t>33 %</w:t>
      </w:r>
    </w:p>
    <w:p w:rsidR="00E171F7" w:rsidRDefault="00D2400B" w:rsidP="00D24DFC">
      <w:r w:rsidRPr="00002668">
        <w:t>The assets</w:t>
      </w:r>
      <w:r w:rsidR="007E4389">
        <w:t>’</w:t>
      </w:r>
      <w:r w:rsidRPr="00002668">
        <w:t xml:space="preserve"> residual values and useful lives are reviewed,</w:t>
      </w:r>
      <w:r>
        <w:t xml:space="preserve"> and adjusted if appropriate, at each balance sheet date.</w:t>
      </w:r>
    </w:p>
    <w:p w:rsidR="00D2400B" w:rsidRDefault="00D2400B" w:rsidP="002419C9">
      <w:pPr>
        <w:rPr>
          <w:sz w:val="24"/>
          <w:szCs w:val="24"/>
        </w:rPr>
      </w:pPr>
      <w:r>
        <w:t>An asset’s carrying amount is written down immediately to its recoverable amount if the asset’s carrying amount is greater than its estimated recoverable amount.</w:t>
      </w:r>
    </w:p>
    <w:p w:rsidR="00D2400B" w:rsidRDefault="00D2400B" w:rsidP="002419C9">
      <w:pPr>
        <w:rPr>
          <w:sz w:val="24"/>
          <w:szCs w:val="24"/>
        </w:rPr>
      </w:pPr>
      <w:r>
        <w:t xml:space="preserve">Gains and losses on disposals are determined by comparing proceeds with the carrying amount. These gains or losses are included in the income statement. When </w:t>
      </w:r>
      <w:proofErr w:type="spellStart"/>
      <w:r>
        <w:t>revalued</w:t>
      </w:r>
      <w:proofErr w:type="spellEnd"/>
      <w:r>
        <w:t xml:space="preserve"> assets are sold, amounts included in the revaluation reserve relating to that asset are transferred to retained earnings.</w:t>
      </w:r>
    </w:p>
    <w:p w:rsidR="00D24DFC" w:rsidRPr="0083231D" w:rsidRDefault="00D2400B" w:rsidP="00D24DFC">
      <w:pPr>
        <w:pStyle w:val="Heading3"/>
        <w:numPr>
          <w:ilvl w:val="1"/>
          <w:numId w:val="13"/>
        </w:numPr>
        <w:ind w:left="1527"/>
      </w:pPr>
      <w:r w:rsidRPr="001A2FF7">
        <w:t>Income Tax</w:t>
      </w:r>
    </w:p>
    <w:p w:rsidR="00D2400B" w:rsidRDefault="00D2400B" w:rsidP="002419C9">
      <w:pPr>
        <w:rPr>
          <w:sz w:val="24"/>
          <w:szCs w:val="24"/>
        </w:rPr>
      </w:pPr>
      <w:r>
        <w:t xml:space="preserve">No provision for income tax has been raised as the entity is exempt from income tax under Division 50 of the </w:t>
      </w:r>
      <w:r w:rsidRPr="00B533BD">
        <w:rPr>
          <w:i/>
        </w:rPr>
        <w:t>Income Tax Assessment Act 1997</w:t>
      </w:r>
      <w:r>
        <w:t>.</w:t>
      </w:r>
    </w:p>
    <w:p w:rsidR="00D24DFC" w:rsidRPr="0083231D" w:rsidRDefault="00D2400B" w:rsidP="00D24DFC">
      <w:pPr>
        <w:pStyle w:val="Heading3"/>
        <w:numPr>
          <w:ilvl w:val="1"/>
          <w:numId w:val="13"/>
        </w:numPr>
        <w:ind w:left="1527"/>
      </w:pPr>
      <w:r w:rsidRPr="001A2FF7">
        <w:t>Costs</w:t>
      </w:r>
    </w:p>
    <w:p w:rsidR="00D2400B" w:rsidRDefault="00D2400B" w:rsidP="002419C9">
      <w:pPr>
        <w:rPr>
          <w:sz w:val="24"/>
          <w:szCs w:val="24"/>
        </w:rPr>
      </w:pPr>
      <w:r>
        <w:t>Borrowing costs directly attributable to the acquisition, construction or production of assets that necessarily take a substantial period of time to prepare for their intended use or sale, are added to the cost of those assets, until such time as the assets are substantially ready for their intended use or sale.</w:t>
      </w:r>
      <w:r w:rsidR="007E4389">
        <w:t xml:space="preserve">  </w:t>
      </w:r>
      <w:r>
        <w:t>All other borrowing costs are recognised in income in the period in which they are incurred.</w:t>
      </w:r>
    </w:p>
    <w:p w:rsidR="00D2400B" w:rsidRPr="001A2FF7" w:rsidRDefault="00D2400B" w:rsidP="00D24DFC">
      <w:pPr>
        <w:pStyle w:val="Heading3"/>
        <w:numPr>
          <w:ilvl w:val="1"/>
          <w:numId w:val="13"/>
        </w:numPr>
        <w:ind w:left="1527"/>
      </w:pPr>
      <w:r w:rsidRPr="001A2FF7">
        <w:t>Financial Instruments</w:t>
      </w:r>
    </w:p>
    <w:p w:rsidR="00D2400B" w:rsidRDefault="00D2400B" w:rsidP="002419C9">
      <w:pPr>
        <w:rPr>
          <w:sz w:val="24"/>
          <w:szCs w:val="24"/>
        </w:rPr>
      </w:pPr>
      <w:r>
        <w:rPr>
          <w:u w:val="single"/>
        </w:rPr>
        <w:t>Initial Recognition and Measurement</w:t>
      </w:r>
    </w:p>
    <w:p w:rsidR="00D2400B" w:rsidRDefault="00D2400B" w:rsidP="002419C9">
      <w:pPr>
        <w:rPr>
          <w:sz w:val="24"/>
          <w:szCs w:val="24"/>
        </w:rPr>
      </w:pPr>
      <w:r>
        <w:t>Financial assets and financial liabilities are recognised when the entity becomes a party to the contractual provisions to the instrument. For financial assets, this is equivalent to the date that the company commits itself to either purchase or sell the asset (i.e. trade date accounting is adopted).</w:t>
      </w:r>
    </w:p>
    <w:p w:rsidR="00D2400B" w:rsidRDefault="00D2400B" w:rsidP="002419C9">
      <w:pPr>
        <w:rPr>
          <w:sz w:val="24"/>
          <w:szCs w:val="24"/>
        </w:rPr>
      </w:pPr>
      <w:r>
        <w:t>Financial instruments are initially measured at fair value plus transactions costs except where the instrument is classified 'at fair value through profit or loss' in which case transaction costs are expensed to profit or loss immediately.</w:t>
      </w:r>
    </w:p>
    <w:p w:rsidR="00D24DFC" w:rsidRDefault="00D24DFC" w:rsidP="00712543">
      <w:pPr>
        <w:pStyle w:val="Quote"/>
        <w:spacing w:before="600" w:after="0"/>
        <w:jc w:val="center"/>
        <w:rPr>
          <w:i w:val="0"/>
          <w:iCs w:val="0"/>
        </w:rPr>
      </w:pPr>
      <w:r w:rsidRPr="001A2FF7">
        <w:t>These notes form part of the financial statement</w:t>
      </w:r>
      <w:r>
        <w:br w:type="page"/>
      </w:r>
    </w:p>
    <w:p w:rsidR="00D24DFC" w:rsidRPr="00E171F7" w:rsidRDefault="00D24DFC" w:rsidP="00D24DFC">
      <w:pPr>
        <w:spacing w:before="480" w:after="0"/>
        <w:rPr>
          <w:sz w:val="48"/>
        </w:rPr>
      </w:pPr>
      <w:r w:rsidRPr="00E171F7">
        <w:rPr>
          <w:sz w:val="48"/>
        </w:rPr>
        <w:lastRenderedPageBreak/>
        <w:t>Notes to the Financial Statements</w:t>
      </w:r>
    </w:p>
    <w:p w:rsidR="00D24DFC" w:rsidRPr="00E171F7" w:rsidRDefault="00D24DFC" w:rsidP="00D24DFC">
      <w:pPr>
        <w:rPr>
          <w:b/>
        </w:rPr>
      </w:pPr>
      <w:r w:rsidRPr="00E171F7">
        <w:rPr>
          <w:b/>
        </w:rPr>
        <w:t>For the Year ended 30 June 2013</w:t>
      </w:r>
    </w:p>
    <w:p w:rsidR="00D24DFC" w:rsidRPr="000C7DE9" w:rsidRDefault="00D24DFC" w:rsidP="00D24DFC">
      <w:pPr>
        <w:widowControl w:val="0"/>
        <w:tabs>
          <w:tab w:val="left" w:pos="709"/>
          <w:tab w:val="left" w:pos="1729"/>
        </w:tabs>
        <w:autoSpaceDE w:val="0"/>
        <w:autoSpaceDN w:val="0"/>
        <w:adjustRightInd w:val="0"/>
        <w:spacing w:before="200" w:after="0" w:line="240" w:lineRule="auto"/>
        <w:ind w:right="-615"/>
        <w:rPr>
          <w:rFonts w:cstheme="minorHAnsi"/>
          <w:color w:val="000000"/>
          <w:sz w:val="36"/>
        </w:rPr>
      </w:pPr>
      <w:r>
        <w:rPr>
          <w:rFonts w:cstheme="minorHAnsi"/>
          <w:bCs/>
          <w:color w:val="000000"/>
          <w:sz w:val="36"/>
        </w:rPr>
        <w:t>1.</w:t>
      </w:r>
      <w:r>
        <w:rPr>
          <w:rFonts w:cstheme="minorHAnsi"/>
          <w:bCs/>
          <w:color w:val="000000"/>
          <w:sz w:val="36"/>
        </w:rPr>
        <w:tab/>
      </w:r>
      <w:r w:rsidRPr="008841DC">
        <w:rPr>
          <w:rFonts w:cstheme="minorHAnsi"/>
          <w:bCs/>
          <w:color w:val="000000"/>
          <w:sz w:val="36"/>
        </w:rPr>
        <w:t>Statement of significant accounting policies (continued)</w:t>
      </w:r>
    </w:p>
    <w:p w:rsidR="00D2400B" w:rsidRPr="001A2FF7" w:rsidRDefault="00D2400B" w:rsidP="007E4389">
      <w:pPr>
        <w:spacing w:before="240"/>
        <w:rPr>
          <w:u w:val="single"/>
        </w:rPr>
      </w:pPr>
      <w:r w:rsidRPr="001A2FF7">
        <w:rPr>
          <w:u w:val="single"/>
        </w:rPr>
        <w:t>Classification and Subsequent Measurement</w:t>
      </w:r>
    </w:p>
    <w:p w:rsidR="00D2400B" w:rsidRPr="00B533BD" w:rsidRDefault="00D2400B" w:rsidP="002419C9">
      <w:r>
        <w:t xml:space="preserve">Finance instruments are subsequently measured at </w:t>
      </w:r>
      <w:proofErr w:type="gramStart"/>
      <w:r>
        <w:t>either fair</w:t>
      </w:r>
      <w:proofErr w:type="gramEnd"/>
      <w:r>
        <w:t xml:space="preserve"> value, amortised cost using the effective interest rate method or cost. Fair value represents the amount for which an asset could be exchanged or a liability settled, between knowledgeable, willing parties. </w:t>
      </w:r>
      <w:proofErr w:type="gramStart"/>
      <w:r>
        <w:t>Where available, quoted prices in an active market are used to determine fair value.</w:t>
      </w:r>
      <w:proofErr w:type="gramEnd"/>
      <w:r>
        <w:t xml:space="preserve"> In other circumstances, valuation techniques are adopted.</w:t>
      </w:r>
    </w:p>
    <w:p w:rsidR="00D2400B" w:rsidRDefault="00D2400B" w:rsidP="002419C9">
      <w:r>
        <w:t>Amortised cost is calculated as:</w:t>
      </w:r>
    </w:p>
    <w:p w:rsidR="00D2400B" w:rsidRDefault="00D2400B" w:rsidP="00D24DFC">
      <w:pPr>
        <w:pStyle w:val="ListParagraph"/>
        <w:numPr>
          <w:ilvl w:val="0"/>
          <w:numId w:val="18"/>
        </w:numPr>
        <w:spacing w:before="120"/>
        <w:ind w:left="720" w:hanging="720"/>
        <w:contextualSpacing w:val="0"/>
      </w:pPr>
      <w:r>
        <w:t>the amount at which the financial asset or financial liability is measured at initial recognition;</w:t>
      </w:r>
    </w:p>
    <w:p w:rsidR="00D2400B" w:rsidRDefault="00D2400B" w:rsidP="002419C9">
      <w:pPr>
        <w:pStyle w:val="ListParagraph"/>
        <w:numPr>
          <w:ilvl w:val="0"/>
          <w:numId w:val="18"/>
        </w:numPr>
        <w:spacing w:before="120"/>
        <w:ind w:left="0" w:firstLine="0"/>
        <w:contextualSpacing w:val="0"/>
      </w:pPr>
      <w:r>
        <w:t>less principal repayments;</w:t>
      </w:r>
    </w:p>
    <w:p w:rsidR="00D2400B" w:rsidRDefault="00D2400B" w:rsidP="00D24DFC">
      <w:pPr>
        <w:pStyle w:val="ListParagraph"/>
        <w:numPr>
          <w:ilvl w:val="0"/>
          <w:numId w:val="18"/>
        </w:numPr>
        <w:spacing w:before="120"/>
        <w:ind w:left="720" w:hanging="720"/>
        <w:contextualSpacing w:val="0"/>
      </w:pPr>
      <w:r>
        <w:t>plus or minus the cumulative amortisation of the difference, if any, between the amount initially recognised and the maturity amount calculated using the effective interest method; and</w:t>
      </w:r>
    </w:p>
    <w:p w:rsidR="00D2400B" w:rsidRPr="001A2FF7" w:rsidRDefault="00D2400B" w:rsidP="002419C9">
      <w:pPr>
        <w:pStyle w:val="ListParagraph"/>
        <w:numPr>
          <w:ilvl w:val="0"/>
          <w:numId w:val="18"/>
        </w:numPr>
        <w:spacing w:before="120"/>
        <w:ind w:left="0" w:firstLine="0"/>
        <w:contextualSpacing w:val="0"/>
      </w:pPr>
      <w:proofErr w:type="gramStart"/>
      <w:r w:rsidRPr="001A2FF7">
        <w:t>less</w:t>
      </w:r>
      <w:proofErr w:type="gramEnd"/>
      <w:r w:rsidRPr="001A2FF7">
        <w:t xml:space="preserve"> any reduction for impairment.</w:t>
      </w:r>
    </w:p>
    <w:p w:rsidR="00D2400B" w:rsidRDefault="00D2400B" w:rsidP="002419C9">
      <w:r>
        <w:t>The effective interest method is used to allocate interest income or interest expense over the relevant period and is equivalent to the rate that exactly discounts estimated future cash payments or receipts (including fees, transaction costs and other premiums or discounts) through the expected life (or when this cannot be reliably predicted, the contractual term) of the financial instrument to the net carrying amount of the financial asset or financial liability.</w:t>
      </w:r>
    </w:p>
    <w:p w:rsidR="00D2400B" w:rsidRDefault="00D2400B" w:rsidP="002419C9">
      <w:pPr>
        <w:rPr>
          <w:u w:val="single"/>
        </w:rPr>
      </w:pPr>
      <w:r>
        <w:t>Revisions to expected future net cash flows will necessitate an adjustment to the carrying value with a consequential recognition of an income or expense in profit or loss.</w:t>
      </w:r>
      <w:r>
        <w:rPr>
          <w:u w:val="single"/>
        </w:rPr>
        <w:t xml:space="preserve"> </w:t>
      </w:r>
    </w:p>
    <w:p w:rsidR="00D2400B" w:rsidRDefault="00D2400B" w:rsidP="002419C9">
      <w:pPr>
        <w:rPr>
          <w:sz w:val="24"/>
          <w:szCs w:val="24"/>
        </w:rPr>
      </w:pPr>
      <w:r>
        <w:rPr>
          <w:u w:val="single"/>
        </w:rPr>
        <w:t>Financial Assets at Fair Value through Profit and Loss</w:t>
      </w:r>
    </w:p>
    <w:p w:rsidR="00D2400B" w:rsidRDefault="00D2400B" w:rsidP="002419C9">
      <w:r>
        <w:t>Financial assets are classified at ‘fair value through profit or loss’ when they are either held for trading for the purpose of short term profit taking, derivatives not held for hedging purposes, or when they are designated as such to avoid an accounting mismatch or to enable performance evaluation where a group of financial assets is managed by key management personnel on a fair value basis in accordance with a documented risk management or investment strategy. Such assets are subsequently measured at fair value with changes in carrying value being included in profit or loss.</w:t>
      </w:r>
    </w:p>
    <w:p w:rsidR="00D24DFC" w:rsidRDefault="00D24DFC" w:rsidP="00D668F9">
      <w:pPr>
        <w:spacing w:before="1680"/>
        <w:jc w:val="center"/>
        <w:rPr>
          <w:i/>
        </w:rPr>
      </w:pPr>
      <w:r w:rsidRPr="004F350B">
        <w:rPr>
          <w:i/>
        </w:rPr>
        <w:t>These notes form part of the financial statements</w:t>
      </w:r>
      <w:r>
        <w:rPr>
          <w:i/>
        </w:rPr>
        <w:br w:type="page"/>
      </w:r>
    </w:p>
    <w:p w:rsidR="00D24DFC" w:rsidRPr="00E171F7" w:rsidRDefault="00D24DFC" w:rsidP="00D24DFC">
      <w:pPr>
        <w:spacing w:before="480" w:after="0"/>
        <w:rPr>
          <w:sz w:val="48"/>
        </w:rPr>
      </w:pPr>
      <w:r w:rsidRPr="00E171F7">
        <w:rPr>
          <w:sz w:val="48"/>
        </w:rPr>
        <w:lastRenderedPageBreak/>
        <w:t>Notes to the Financial Statements</w:t>
      </w:r>
    </w:p>
    <w:p w:rsidR="00D24DFC" w:rsidRPr="00E171F7" w:rsidRDefault="00D24DFC" w:rsidP="00D24DFC">
      <w:pPr>
        <w:rPr>
          <w:b/>
        </w:rPr>
      </w:pPr>
      <w:r w:rsidRPr="00E171F7">
        <w:rPr>
          <w:b/>
        </w:rPr>
        <w:t>For the Year ended 30 June 2013</w:t>
      </w:r>
    </w:p>
    <w:p w:rsidR="00D24DFC" w:rsidRPr="000C7DE9" w:rsidRDefault="00D24DFC" w:rsidP="00D24DFC">
      <w:pPr>
        <w:widowControl w:val="0"/>
        <w:tabs>
          <w:tab w:val="left" w:pos="709"/>
          <w:tab w:val="left" w:pos="1729"/>
        </w:tabs>
        <w:autoSpaceDE w:val="0"/>
        <w:autoSpaceDN w:val="0"/>
        <w:adjustRightInd w:val="0"/>
        <w:spacing w:before="200" w:after="0" w:line="240" w:lineRule="auto"/>
        <w:ind w:right="-615"/>
        <w:rPr>
          <w:rFonts w:cstheme="minorHAnsi"/>
          <w:color w:val="000000"/>
          <w:sz w:val="36"/>
        </w:rPr>
      </w:pPr>
      <w:r>
        <w:rPr>
          <w:rFonts w:cstheme="minorHAnsi"/>
          <w:bCs/>
          <w:color w:val="000000"/>
          <w:sz w:val="36"/>
        </w:rPr>
        <w:t>1.</w:t>
      </w:r>
      <w:r>
        <w:rPr>
          <w:rFonts w:cstheme="minorHAnsi"/>
          <w:bCs/>
          <w:color w:val="000000"/>
          <w:sz w:val="36"/>
        </w:rPr>
        <w:tab/>
      </w:r>
      <w:r w:rsidRPr="008841DC">
        <w:rPr>
          <w:rFonts w:cstheme="minorHAnsi"/>
          <w:bCs/>
          <w:color w:val="000000"/>
          <w:sz w:val="36"/>
        </w:rPr>
        <w:t>Statement of significant accounting policies (continued)</w:t>
      </w:r>
    </w:p>
    <w:p w:rsidR="00D2400B" w:rsidRDefault="00D2400B" w:rsidP="00D668F9">
      <w:pPr>
        <w:spacing w:before="200"/>
        <w:rPr>
          <w:sz w:val="24"/>
          <w:szCs w:val="24"/>
        </w:rPr>
      </w:pPr>
      <w:r>
        <w:rPr>
          <w:u w:val="single"/>
        </w:rPr>
        <w:t>Available-for-Sale Financial Assets</w:t>
      </w:r>
    </w:p>
    <w:p w:rsidR="00D2400B" w:rsidRDefault="00D2400B" w:rsidP="002419C9">
      <w:r>
        <w:t>Available-for-sale financial assets are non-derivative financial assets that are either not capable of being classified into other categories of financial assets due to their nature, or they are designated as such by management. They comprise investments in the equity of other entities where there is neither a fixed maturity nor fixed or determinable payments.</w:t>
      </w:r>
    </w:p>
    <w:p w:rsidR="00D2400B" w:rsidRDefault="00D2400B" w:rsidP="002419C9">
      <w:pPr>
        <w:rPr>
          <w:sz w:val="24"/>
          <w:szCs w:val="24"/>
        </w:rPr>
      </w:pPr>
      <w:proofErr w:type="spellStart"/>
      <w:r>
        <w:rPr>
          <w:u w:val="single"/>
        </w:rPr>
        <w:t>Derecognition</w:t>
      </w:r>
      <w:proofErr w:type="spellEnd"/>
    </w:p>
    <w:p w:rsidR="00D2400B" w:rsidRDefault="00D2400B" w:rsidP="002419C9">
      <w:r>
        <w:t xml:space="preserve">Financial assets are derecognised where the contractual rights to receipt of cash flows expires or the asset is transferred to another party whereby the entity no longer has any significant continuing involvement in the risks and benefits associated with the asset. </w:t>
      </w:r>
    </w:p>
    <w:p w:rsidR="00D2400B" w:rsidRDefault="00D2400B" w:rsidP="002419C9">
      <w:pPr>
        <w:rPr>
          <w:i/>
          <w:iCs/>
          <w:sz w:val="16"/>
          <w:szCs w:val="16"/>
        </w:rPr>
      </w:pPr>
      <w:r>
        <w:t>Financial liabilities are derecognised where the related obligations are either discharged, cancelled or expire. The difference between the carrying value of the financial liability extinguished or transferred to another party and the fair value of consideration paid, including the transfer of non-cash assets or liabilities assumed is recognised in profit of loss.</w:t>
      </w:r>
      <w:r>
        <w:rPr>
          <w:i/>
          <w:iCs/>
          <w:sz w:val="16"/>
          <w:szCs w:val="16"/>
        </w:rPr>
        <w:t xml:space="preserve"> </w:t>
      </w:r>
    </w:p>
    <w:p w:rsidR="00D24DFC" w:rsidRPr="0083231D" w:rsidRDefault="00D2400B" w:rsidP="00D24DFC">
      <w:pPr>
        <w:pStyle w:val="Heading3"/>
        <w:numPr>
          <w:ilvl w:val="1"/>
          <w:numId w:val="13"/>
        </w:numPr>
        <w:ind w:left="1527"/>
      </w:pPr>
      <w:r w:rsidRPr="0083231D">
        <w:t>Goods and Services Tax (GST)</w:t>
      </w:r>
      <w:r w:rsidR="00D24DFC" w:rsidRPr="00D24DFC">
        <w:t xml:space="preserve"> </w:t>
      </w:r>
    </w:p>
    <w:p w:rsidR="00D2400B" w:rsidRDefault="00D2400B" w:rsidP="002419C9">
      <w:r>
        <w:t>Revenues, expenses and assets are recognised net of the amount of GST, except where the amount of GST incurred is not recoverable from the Tax Office. In these circumstances, the GST is recognised as part of the cost of acquisition of the asset or as part of an item of the expense. Receivables and payables in the balance sheet are shown inclusive of GST. Cash flows are presented in the cash flow statement on a gross basis, except for the GST component of investing and financing activities, which are disclosed as operating cash flows.</w:t>
      </w:r>
    </w:p>
    <w:p w:rsidR="00D24DFC" w:rsidRPr="0083231D" w:rsidRDefault="00D2400B" w:rsidP="00D24DFC">
      <w:pPr>
        <w:pStyle w:val="Heading3"/>
        <w:numPr>
          <w:ilvl w:val="1"/>
          <w:numId w:val="13"/>
        </w:numPr>
        <w:ind w:left="1527"/>
      </w:pPr>
      <w:r w:rsidRPr="004F350B">
        <w:t>Employee Benefits</w:t>
      </w:r>
    </w:p>
    <w:p w:rsidR="00D2400B" w:rsidRPr="00EA316F" w:rsidRDefault="00D2400B" w:rsidP="002419C9">
      <w:r w:rsidRPr="00EA30D4">
        <w:t>Liabilities for annual leave expected to be settled within 12 months of the reporting date are recognised in other payables in respect of employee’s service up to the reporting date. They are measured at the amounts expected to be paid when liabilities are settled.</w:t>
      </w:r>
    </w:p>
    <w:p w:rsidR="00D2400B" w:rsidRDefault="00D2400B" w:rsidP="002419C9">
      <w:r w:rsidRPr="00D916BE">
        <w:t xml:space="preserve">Liabilities for long service leave are measured at the amounts expected to be paid when the liabilities are settled in respect of services provided by employee up to the </w:t>
      </w:r>
      <w:r>
        <w:t>reporting date, plus related on-</w:t>
      </w:r>
      <w:r w:rsidRPr="00D916BE">
        <w:t>costs.</w:t>
      </w:r>
      <w:r>
        <w:t xml:space="preserve"> </w:t>
      </w:r>
      <w:r w:rsidRPr="00DB6EC2">
        <w:t>These are recorded at present value of future liabilities.</w:t>
      </w:r>
      <w:r>
        <w:t xml:space="preserve"> </w:t>
      </w:r>
    </w:p>
    <w:p w:rsidR="00D24DFC" w:rsidRPr="0083231D" w:rsidRDefault="00D24DFC" w:rsidP="00D24DFC">
      <w:pPr>
        <w:pStyle w:val="Heading3"/>
        <w:numPr>
          <w:ilvl w:val="1"/>
          <w:numId w:val="13"/>
        </w:numPr>
        <w:ind w:left="1527"/>
      </w:pPr>
      <w:r w:rsidRPr="004F350B">
        <w:t>Comparative Figures</w:t>
      </w:r>
    </w:p>
    <w:p w:rsidR="00D24DFC" w:rsidRDefault="00D24DFC" w:rsidP="00D24DFC">
      <w:pPr>
        <w:rPr>
          <w:sz w:val="24"/>
          <w:szCs w:val="24"/>
        </w:rPr>
      </w:pPr>
      <w:r>
        <w:t>When required by Accounting Standards, comparative figures have been adjusted to conform to changes in presentation for the current financial year.</w:t>
      </w:r>
    </w:p>
    <w:p w:rsidR="00D24DFC" w:rsidRDefault="00D24DFC" w:rsidP="00D668F9">
      <w:pPr>
        <w:widowControl w:val="0"/>
        <w:autoSpaceDE w:val="0"/>
        <w:autoSpaceDN w:val="0"/>
        <w:adjustRightInd w:val="0"/>
        <w:spacing w:before="960" w:after="0" w:line="240" w:lineRule="auto"/>
        <w:jc w:val="center"/>
        <w:rPr>
          <w:rFonts w:ascii="Times New Roman" w:hAnsi="Times New Roman"/>
          <w:i/>
          <w:iCs/>
          <w:color w:val="000000"/>
          <w:sz w:val="16"/>
          <w:szCs w:val="16"/>
        </w:rPr>
      </w:pPr>
      <w:r w:rsidRPr="00FE78F8">
        <w:rPr>
          <w:rFonts w:cstheme="minorHAnsi"/>
          <w:i/>
          <w:iCs/>
          <w:color w:val="000000"/>
          <w:szCs w:val="16"/>
        </w:rPr>
        <w:t>These notes form part of the financial statements</w:t>
      </w:r>
      <w:r>
        <w:rPr>
          <w:rFonts w:ascii="Times New Roman" w:hAnsi="Times New Roman"/>
          <w:i/>
          <w:iCs/>
          <w:color w:val="000000"/>
          <w:sz w:val="16"/>
          <w:szCs w:val="16"/>
        </w:rPr>
        <w:br w:type="page"/>
      </w:r>
    </w:p>
    <w:p w:rsidR="00A32AC0" w:rsidRPr="00E171F7" w:rsidRDefault="00A32AC0" w:rsidP="00A32AC0">
      <w:pPr>
        <w:spacing w:before="480" w:after="0"/>
        <w:rPr>
          <w:sz w:val="48"/>
        </w:rPr>
      </w:pPr>
      <w:r w:rsidRPr="00E171F7">
        <w:rPr>
          <w:sz w:val="48"/>
        </w:rPr>
        <w:lastRenderedPageBreak/>
        <w:t>Notes to the Financial Statements</w:t>
      </w:r>
    </w:p>
    <w:p w:rsidR="00A32AC0" w:rsidRPr="00E171F7" w:rsidRDefault="00A32AC0" w:rsidP="00A32AC0">
      <w:pPr>
        <w:rPr>
          <w:b/>
        </w:rPr>
      </w:pPr>
      <w:r w:rsidRPr="00E171F7">
        <w:rPr>
          <w:b/>
        </w:rPr>
        <w:t>For the Year ended 30 June 2013</w:t>
      </w:r>
    </w:p>
    <w:p w:rsidR="00A32AC0" w:rsidRPr="000C7DE9" w:rsidRDefault="00A32AC0" w:rsidP="00A32AC0">
      <w:pPr>
        <w:widowControl w:val="0"/>
        <w:tabs>
          <w:tab w:val="left" w:pos="709"/>
          <w:tab w:val="left" w:pos="1729"/>
        </w:tabs>
        <w:autoSpaceDE w:val="0"/>
        <w:autoSpaceDN w:val="0"/>
        <w:adjustRightInd w:val="0"/>
        <w:spacing w:before="200" w:after="0" w:line="240" w:lineRule="auto"/>
        <w:ind w:right="-615"/>
        <w:rPr>
          <w:rFonts w:cstheme="minorHAnsi"/>
          <w:color w:val="000000"/>
          <w:sz w:val="36"/>
        </w:rPr>
      </w:pPr>
      <w:r>
        <w:rPr>
          <w:rFonts w:cstheme="minorHAnsi"/>
          <w:bCs/>
          <w:color w:val="000000"/>
          <w:sz w:val="36"/>
        </w:rPr>
        <w:t>1.</w:t>
      </w:r>
      <w:r>
        <w:rPr>
          <w:rFonts w:cstheme="minorHAnsi"/>
          <w:bCs/>
          <w:color w:val="000000"/>
          <w:sz w:val="36"/>
        </w:rPr>
        <w:tab/>
      </w:r>
      <w:r w:rsidRPr="008841DC">
        <w:rPr>
          <w:rFonts w:cstheme="minorHAnsi"/>
          <w:bCs/>
          <w:color w:val="000000"/>
          <w:sz w:val="36"/>
        </w:rPr>
        <w:t>Statement of significant accounting policies (continued)</w:t>
      </w:r>
    </w:p>
    <w:p w:rsidR="0015721B" w:rsidRPr="0083231D" w:rsidRDefault="00D2400B" w:rsidP="007E4389">
      <w:pPr>
        <w:pStyle w:val="Heading3"/>
        <w:numPr>
          <w:ilvl w:val="1"/>
          <w:numId w:val="13"/>
        </w:numPr>
        <w:spacing w:before="480"/>
        <w:ind w:left="1527"/>
      </w:pPr>
      <w:r w:rsidRPr="004F350B">
        <w:t>Critical Accounting Estimates and Judgments</w:t>
      </w:r>
    </w:p>
    <w:p w:rsidR="00D2400B" w:rsidRDefault="00D2400B" w:rsidP="002419C9">
      <w:pPr>
        <w:rPr>
          <w:sz w:val="24"/>
          <w:szCs w:val="24"/>
        </w:rPr>
      </w:pPr>
      <w:r>
        <w:t>The directors evaluate estimates and judgments incorporated into the financial report based on historical knowledge and best available current information. Estimates assume a reasonable expectation of future events and are based on current trends and economic data, obtained both externally and within the company.</w:t>
      </w:r>
    </w:p>
    <w:p w:rsidR="00D2400B" w:rsidRDefault="00D2400B" w:rsidP="002419C9">
      <w:pPr>
        <w:rPr>
          <w:sz w:val="24"/>
          <w:szCs w:val="24"/>
        </w:rPr>
      </w:pPr>
      <w:r>
        <w:rPr>
          <w:u w:val="single"/>
        </w:rPr>
        <w:t>Key Estimates - Impairment</w:t>
      </w:r>
    </w:p>
    <w:p w:rsidR="00D2400B" w:rsidRDefault="00D2400B" w:rsidP="002419C9">
      <w:pPr>
        <w:rPr>
          <w:sz w:val="24"/>
          <w:szCs w:val="24"/>
        </w:rPr>
      </w:pPr>
      <w:r>
        <w:t>The company assesses impairment at each reporting date by evaluation of conditions and events specific to the company that may be indicative of impairment triggers. Recoverable amounts of relevant assets are reassessed using value-in-use calculations which incorporate various key assumptions.</w:t>
      </w:r>
    </w:p>
    <w:p w:rsidR="00D2400B" w:rsidRPr="004F350B" w:rsidRDefault="00D2400B" w:rsidP="0015721B">
      <w:pPr>
        <w:pStyle w:val="Heading3"/>
        <w:numPr>
          <w:ilvl w:val="1"/>
          <w:numId w:val="13"/>
        </w:numPr>
        <w:ind w:left="1527"/>
      </w:pPr>
      <w:r w:rsidRPr="004F350B">
        <w:t>New Accounting Standards for Application in Future Periods</w:t>
      </w:r>
    </w:p>
    <w:p w:rsidR="00D2400B" w:rsidRDefault="00D2400B" w:rsidP="002419C9">
      <w:r>
        <w:t>The AASB has issued new, revised and amended Standards and Interpretations that have mandatory application dates for future reporting periods and which the company has decided not to early adopt. The company does not anticipate early adoption of any of the reporting requirements would have any material effect on the company’s financial statements.</w:t>
      </w:r>
    </w:p>
    <w:p w:rsidR="00D2400B" w:rsidRDefault="00D2400B" w:rsidP="00712543">
      <w:pPr>
        <w:widowControl w:val="0"/>
        <w:autoSpaceDE w:val="0"/>
        <w:autoSpaceDN w:val="0"/>
        <w:adjustRightInd w:val="0"/>
        <w:spacing w:before="5280" w:after="0" w:line="240" w:lineRule="auto"/>
        <w:jc w:val="center"/>
        <w:rPr>
          <w:rFonts w:ascii="Times New Roman" w:hAnsi="Times New Roman"/>
          <w:i/>
          <w:iCs/>
          <w:color w:val="000000"/>
          <w:sz w:val="16"/>
          <w:szCs w:val="16"/>
        </w:rPr>
      </w:pPr>
      <w:r w:rsidRPr="00FE78F8">
        <w:rPr>
          <w:rFonts w:cstheme="minorHAnsi"/>
          <w:i/>
          <w:iCs/>
          <w:color w:val="000000"/>
          <w:szCs w:val="16"/>
        </w:rPr>
        <w:t>These notes form part of the financial statements</w:t>
      </w:r>
      <w:r>
        <w:rPr>
          <w:rFonts w:ascii="Times New Roman" w:hAnsi="Times New Roman"/>
          <w:i/>
          <w:iCs/>
          <w:color w:val="000000"/>
          <w:sz w:val="16"/>
          <w:szCs w:val="16"/>
        </w:rPr>
        <w:br w:type="page"/>
      </w:r>
    </w:p>
    <w:p w:rsidR="0015721B" w:rsidRPr="00E171F7" w:rsidRDefault="0015721B" w:rsidP="00515B5E">
      <w:pPr>
        <w:spacing w:before="480" w:after="0"/>
        <w:rPr>
          <w:sz w:val="48"/>
        </w:rPr>
      </w:pPr>
      <w:r w:rsidRPr="00E171F7">
        <w:rPr>
          <w:sz w:val="48"/>
        </w:rPr>
        <w:lastRenderedPageBreak/>
        <w:t>Notes to the Financial Statements</w:t>
      </w:r>
    </w:p>
    <w:p w:rsidR="0015721B" w:rsidRPr="00E171F7" w:rsidRDefault="0015721B" w:rsidP="0015721B">
      <w:pPr>
        <w:rPr>
          <w:b/>
        </w:rPr>
      </w:pPr>
      <w:r w:rsidRPr="00E171F7">
        <w:rPr>
          <w:b/>
        </w:rPr>
        <w:t>For the Year ended 30 June 2013</w:t>
      </w:r>
    </w:p>
    <w:tbl>
      <w:tblPr>
        <w:tblStyle w:val="TableGrid"/>
        <w:tblW w:w="9185" w:type="dxa"/>
        <w:jc w:val="center"/>
        <w:tblInd w:w="8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revenue"/>
      </w:tblPr>
      <w:tblGrid>
        <w:gridCol w:w="5483"/>
        <w:gridCol w:w="1510"/>
        <w:gridCol w:w="2192"/>
      </w:tblGrid>
      <w:tr w:rsidR="00DD22FF" w:rsidTr="00712378">
        <w:trPr>
          <w:cnfStyle w:val="100000000000" w:firstRow="1" w:lastRow="0" w:firstColumn="0" w:lastColumn="0" w:oddVBand="0" w:evenVBand="0" w:oddHBand="0" w:evenHBand="0" w:firstRowFirstColumn="0" w:firstRowLastColumn="0" w:lastRowFirstColumn="0" w:lastRowLastColumn="0"/>
          <w:tblHeader/>
          <w:jc w:val="center"/>
        </w:trPr>
        <w:tc>
          <w:tcPr>
            <w:tcW w:w="2985" w:type="pct"/>
          </w:tcPr>
          <w:p w:rsidR="00DD22FF" w:rsidRPr="002419C9" w:rsidRDefault="00CB5652" w:rsidP="006D2D33">
            <w:pPr>
              <w:pStyle w:val="Heading2"/>
              <w:spacing w:before="0"/>
              <w:outlineLvl w:val="1"/>
            </w:pPr>
            <w:r w:rsidRPr="002419C9">
              <w:t>2.</w:t>
            </w:r>
            <w:r w:rsidR="00712378">
              <w:t xml:space="preserve">  </w:t>
            </w:r>
            <w:r w:rsidR="00DD22FF" w:rsidRPr="002419C9">
              <w:t>Revenue</w:t>
            </w:r>
          </w:p>
        </w:tc>
        <w:tc>
          <w:tcPr>
            <w:tcW w:w="822" w:type="pct"/>
          </w:tcPr>
          <w:p w:rsidR="00DD22FF" w:rsidRPr="002419C9" w:rsidRDefault="00DD22FF" w:rsidP="004B6628">
            <w:pPr>
              <w:spacing w:after="60" w:line="240" w:lineRule="auto"/>
              <w:ind w:left="176"/>
              <w:jc w:val="right"/>
            </w:pPr>
            <w:r w:rsidRPr="002419C9">
              <w:rPr>
                <w:color w:val="000000"/>
              </w:rPr>
              <w:t>2013</w:t>
            </w:r>
            <w:r w:rsidRPr="002419C9">
              <w:rPr>
                <w:color w:val="000000"/>
              </w:rPr>
              <w:br/>
              <w:t>$</w:t>
            </w:r>
          </w:p>
        </w:tc>
        <w:tc>
          <w:tcPr>
            <w:tcW w:w="1193" w:type="pct"/>
          </w:tcPr>
          <w:p w:rsidR="00DD22FF" w:rsidRPr="00D40661" w:rsidRDefault="00DD22FF" w:rsidP="00B66B21">
            <w:pPr>
              <w:spacing w:after="60" w:line="240" w:lineRule="auto"/>
              <w:jc w:val="right"/>
            </w:pPr>
            <w:r w:rsidRPr="002419C9">
              <w:rPr>
                <w:color w:val="000000"/>
              </w:rPr>
              <w:t>2012</w:t>
            </w:r>
            <w:r w:rsidRPr="002419C9">
              <w:rPr>
                <w:color w:val="000000"/>
              </w:rPr>
              <w:br/>
              <w:t>$</w:t>
            </w:r>
          </w:p>
        </w:tc>
      </w:tr>
      <w:tr w:rsidR="00DD22FF" w:rsidTr="00712378">
        <w:trPr>
          <w:jc w:val="center"/>
        </w:trPr>
        <w:tc>
          <w:tcPr>
            <w:tcW w:w="2985" w:type="pct"/>
          </w:tcPr>
          <w:p w:rsidR="00DD22FF" w:rsidRPr="00D40661" w:rsidRDefault="00DD22FF" w:rsidP="00DD22FF">
            <w:pPr>
              <w:spacing w:after="60" w:line="240" w:lineRule="auto"/>
            </w:pPr>
            <w:r w:rsidRPr="00D40661">
              <w:t>Miscellaneous Income</w:t>
            </w:r>
          </w:p>
        </w:tc>
        <w:tc>
          <w:tcPr>
            <w:tcW w:w="822" w:type="pct"/>
          </w:tcPr>
          <w:p w:rsidR="00DD22FF" w:rsidRPr="00D40661" w:rsidRDefault="00DD22FF" w:rsidP="004B6628">
            <w:pPr>
              <w:spacing w:after="60" w:line="240" w:lineRule="auto"/>
              <w:ind w:left="176"/>
              <w:jc w:val="right"/>
            </w:pPr>
            <w:r>
              <w:t>953</w:t>
            </w:r>
          </w:p>
        </w:tc>
        <w:tc>
          <w:tcPr>
            <w:tcW w:w="1193" w:type="pct"/>
          </w:tcPr>
          <w:p w:rsidR="00DD22FF" w:rsidRPr="00D40661" w:rsidRDefault="00DD22FF" w:rsidP="00B66B21">
            <w:pPr>
              <w:spacing w:after="60" w:line="240" w:lineRule="auto"/>
              <w:jc w:val="right"/>
            </w:pPr>
            <w:r w:rsidRPr="00D40661">
              <w:t>131,499</w:t>
            </w:r>
          </w:p>
        </w:tc>
      </w:tr>
      <w:tr w:rsidR="00DD22FF" w:rsidTr="00712378">
        <w:trPr>
          <w:jc w:val="center"/>
        </w:trPr>
        <w:tc>
          <w:tcPr>
            <w:tcW w:w="2985" w:type="pct"/>
          </w:tcPr>
          <w:p w:rsidR="00DD22FF" w:rsidRPr="00DD22FF" w:rsidRDefault="00DD22FF" w:rsidP="00DD22FF">
            <w:pPr>
              <w:spacing w:after="60" w:line="240" w:lineRule="auto"/>
            </w:pPr>
            <w:r w:rsidRPr="00DD22FF">
              <w:t>Industry course</w:t>
            </w:r>
          </w:p>
        </w:tc>
        <w:tc>
          <w:tcPr>
            <w:tcW w:w="822" w:type="pct"/>
          </w:tcPr>
          <w:p w:rsidR="00DD22FF" w:rsidRPr="00DD22FF" w:rsidRDefault="00DD22FF" w:rsidP="004B6628">
            <w:pPr>
              <w:spacing w:after="60" w:line="240" w:lineRule="auto"/>
              <w:ind w:left="176"/>
              <w:jc w:val="right"/>
            </w:pPr>
            <w:r w:rsidRPr="00DD22FF">
              <w:t>56,089</w:t>
            </w:r>
          </w:p>
        </w:tc>
        <w:tc>
          <w:tcPr>
            <w:tcW w:w="1193" w:type="pct"/>
          </w:tcPr>
          <w:p w:rsidR="00DD22FF" w:rsidRPr="00DD22FF" w:rsidRDefault="00DD22FF" w:rsidP="00B66B21">
            <w:pPr>
              <w:spacing w:after="60" w:line="240" w:lineRule="auto"/>
              <w:jc w:val="right"/>
            </w:pPr>
            <w:r w:rsidRPr="00DD22FF">
              <w:t>67,766</w:t>
            </w:r>
          </w:p>
        </w:tc>
      </w:tr>
      <w:tr w:rsidR="00DD22FF" w:rsidTr="00F42C98">
        <w:trPr>
          <w:jc w:val="center"/>
        </w:trPr>
        <w:tc>
          <w:tcPr>
            <w:tcW w:w="2985" w:type="pct"/>
          </w:tcPr>
          <w:p w:rsidR="00DD22FF" w:rsidRPr="00DD22FF" w:rsidRDefault="00DD22FF" w:rsidP="00DD22FF">
            <w:pPr>
              <w:spacing w:after="60" w:line="240" w:lineRule="auto"/>
            </w:pPr>
            <w:r w:rsidRPr="00DD22FF">
              <w:t>Access iQ</w:t>
            </w:r>
          </w:p>
        </w:tc>
        <w:tc>
          <w:tcPr>
            <w:tcW w:w="822" w:type="pct"/>
            <w:tcBorders>
              <w:bottom w:val="single" w:sz="4" w:space="0" w:color="auto"/>
            </w:tcBorders>
          </w:tcPr>
          <w:p w:rsidR="00DD22FF" w:rsidRPr="00DD22FF" w:rsidRDefault="00DD22FF" w:rsidP="004B6628">
            <w:pPr>
              <w:spacing w:after="60" w:line="240" w:lineRule="auto"/>
              <w:ind w:left="176"/>
              <w:jc w:val="right"/>
            </w:pPr>
            <w:r w:rsidRPr="00DD22FF">
              <w:t>99,108</w:t>
            </w:r>
          </w:p>
        </w:tc>
        <w:tc>
          <w:tcPr>
            <w:tcW w:w="1193" w:type="pct"/>
            <w:tcBorders>
              <w:bottom w:val="single" w:sz="4" w:space="0" w:color="auto"/>
            </w:tcBorders>
          </w:tcPr>
          <w:p w:rsidR="00DD22FF" w:rsidRPr="00DD22FF" w:rsidRDefault="00DD22FF" w:rsidP="00B66B21">
            <w:pPr>
              <w:spacing w:after="60" w:line="240" w:lineRule="auto"/>
              <w:jc w:val="right"/>
            </w:pPr>
            <w:r w:rsidRPr="00DD22FF">
              <w:t>-</w:t>
            </w:r>
          </w:p>
        </w:tc>
      </w:tr>
      <w:tr w:rsidR="00DD22FF" w:rsidTr="00F42C98">
        <w:trPr>
          <w:jc w:val="center"/>
        </w:trPr>
        <w:tc>
          <w:tcPr>
            <w:tcW w:w="2985" w:type="pct"/>
          </w:tcPr>
          <w:p w:rsidR="00DD22FF" w:rsidRPr="00DD22FF" w:rsidRDefault="00DD22FF" w:rsidP="00DD22FF">
            <w:pPr>
              <w:spacing w:after="60" w:line="240" w:lineRule="auto"/>
            </w:pPr>
          </w:p>
        </w:tc>
        <w:tc>
          <w:tcPr>
            <w:tcW w:w="822" w:type="pct"/>
            <w:tcBorders>
              <w:top w:val="single" w:sz="4" w:space="0" w:color="auto"/>
              <w:bottom w:val="double" w:sz="4" w:space="0" w:color="auto"/>
            </w:tcBorders>
          </w:tcPr>
          <w:p w:rsidR="00DD22FF" w:rsidRPr="00DD22FF" w:rsidRDefault="00DD22FF" w:rsidP="004B6628">
            <w:pPr>
              <w:spacing w:after="60" w:line="240" w:lineRule="auto"/>
              <w:ind w:left="176"/>
              <w:jc w:val="right"/>
            </w:pPr>
            <w:r w:rsidRPr="00DD22FF">
              <w:t>156,150</w:t>
            </w:r>
          </w:p>
        </w:tc>
        <w:tc>
          <w:tcPr>
            <w:tcW w:w="1193" w:type="pct"/>
            <w:tcBorders>
              <w:top w:val="single" w:sz="4" w:space="0" w:color="auto"/>
              <w:bottom w:val="double" w:sz="4" w:space="0" w:color="auto"/>
            </w:tcBorders>
          </w:tcPr>
          <w:p w:rsidR="00DD22FF" w:rsidRPr="00DD22FF" w:rsidRDefault="00DD22FF" w:rsidP="00B66B21">
            <w:pPr>
              <w:spacing w:after="60" w:line="240" w:lineRule="auto"/>
              <w:jc w:val="right"/>
            </w:pPr>
            <w:r w:rsidRPr="00DD22FF">
              <w:t>193,265</w:t>
            </w:r>
          </w:p>
        </w:tc>
      </w:tr>
    </w:tbl>
    <w:p w:rsidR="000C7DE9" w:rsidRDefault="000C7DE9" w:rsidP="00B90CF7">
      <w:pPr>
        <w:spacing w:line="240" w:lineRule="auto"/>
      </w:pPr>
    </w:p>
    <w:tbl>
      <w:tblPr>
        <w:tblStyle w:val="TableGrid"/>
        <w:tblW w:w="91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net financial income"/>
      </w:tblPr>
      <w:tblGrid>
        <w:gridCol w:w="5484"/>
        <w:gridCol w:w="1514"/>
        <w:gridCol w:w="2187"/>
      </w:tblGrid>
      <w:tr w:rsidR="00B90CF7" w:rsidRPr="007A7882" w:rsidTr="000234B1">
        <w:trPr>
          <w:cnfStyle w:val="100000000000" w:firstRow="1" w:lastRow="0" w:firstColumn="0" w:lastColumn="0" w:oddVBand="0" w:evenVBand="0" w:oddHBand="0" w:evenHBand="0" w:firstRowFirstColumn="0" w:firstRowLastColumn="0" w:lastRowFirstColumn="0" w:lastRowLastColumn="0"/>
          <w:tblHeader/>
          <w:jc w:val="center"/>
        </w:trPr>
        <w:tc>
          <w:tcPr>
            <w:tcW w:w="0" w:type="auto"/>
          </w:tcPr>
          <w:p w:rsidR="00B90CF7" w:rsidRPr="002419C9" w:rsidRDefault="00CB5652" w:rsidP="00CB5652">
            <w:pPr>
              <w:pStyle w:val="Heading2"/>
              <w:outlineLvl w:val="1"/>
            </w:pPr>
            <w:r w:rsidRPr="002419C9">
              <w:t xml:space="preserve">3. </w:t>
            </w:r>
            <w:r w:rsidR="00712378">
              <w:t xml:space="preserve"> </w:t>
            </w:r>
            <w:r w:rsidR="00B90CF7" w:rsidRPr="002419C9">
              <w:t>Net Financial Income (expense)</w:t>
            </w:r>
          </w:p>
        </w:tc>
        <w:tc>
          <w:tcPr>
            <w:tcW w:w="1514" w:type="dxa"/>
          </w:tcPr>
          <w:p w:rsidR="00B90CF7" w:rsidRPr="002419C9" w:rsidRDefault="00B90CF7" w:rsidP="007A7882">
            <w:pPr>
              <w:jc w:val="right"/>
            </w:pPr>
            <w:r w:rsidRPr="002419C9">
              <w:t>2013</w:t>
            </w:r>
            <w:r w:rsidRPr="002419C9">
              <w:br/>
              <w:t>$</w:t>
            </w:r>
          </w:p>
        </w:tc>
        <w:tc>
          <w:tcPr>
            <w:tcW w:w="2187" w:type="dxa"/>
          </w:tcPr>
          <w:p w:rsidR="00B90CF7" w:rsidRPr="007A7882" w:rsidRDefault="00B90CF7" w:rsidP="007A7882">
            <w:pPr>
              <w:jc w:val="right"/>
            </w:pPr>
            <w:r w:rsidRPr="002419C9">
              <w:t>2012</w:t>
            </w:r>
            <w:r w:rsidRPr="002419C9">
              <w:br/>
              <w:t>$</w:t>
            </w:r>
          </w:p>
        </w:tc>
      </w:tr>
      <w:tr w:rsidR="00B90CF7" w:rsidRPr="007A7882" w:rsidTr="000234B1">
        <w:trPr>
          <w:jc w:val="center"/>
        </w:trPr>
        <w:tc>
          <w:tcPr>
            <w:tcW w:w="0" w:type="auto"/>
          </w:tcPr>
          <w:p w:rsidR="00B90CF7" w:rsidRPr="007A7882" w:rsidRDefault="00B90CF7" w:rsidP="007A7882">
            <w:pPr>
              <w:spacing w:after="60" w:line="240" w:lineRule="auto"/>
            </w:pPr>
            <w:r w:rsidRPr="007A7882">
              <w:t>Net Dividend and distribution received</w:t>
            </w:r>
          </w:p>
        </w:tc>
        <w:tc>
          <w:tcPr>
            <w:tcW w:w="1514" w:type="dxa"/>
          </w:tcPr>
          <w:p w:rsidR="00B90CF7" w:rsidRPr="007A7882" w:rsidRDefault="00B90CF7" w:rsidP="007A7882">
            <w:pPr>
              <w:spacing w:after="60" w:line="240" w:lineRule="auto"/>
              <w:jc w:val="right"/>
            </w:pPr>
            <w:r w:rsidRPr="007A7882">
              <w:t>535,777</w:t>
            </w:r>
          </w:p>
        </w:tc>
        <w:tc>
          <w:tcPr>
            <w:tcW w:w="2187" w:type="dxa"/>
          </w:tcPr>
          <w:p w:rsidR="00B90CF7" w:rsidRPr="007A7882" w:rsidRDefault="00B90CF7" w:rsidP="007A7882">
            <w:pPr>
              <w:spacing w:after="60" w:line="240" w:lineRule="auto"/>
              <w:jc w:val="right"/>
            </w:pPr>
            <w:r w:rsidRPr="007A7882">
              <w:t>614,133</w:t>
            </w:r>
          </w:p>
        </w:tc>
      </w:tr>
      <w:tr w:rsidR="00B90CF7" w:rsidRPr="007A7882" w:rsidTr="000234B1">
        <w:trPr>
          <w:jc w:val="center"/>
        </w:trPr>
        <w:tc>
          <w:tcPr>
            <w:tcW w:w="0" w:type="auto"/>
          </w:tcPr>
          <w:p w:rsidR="00B90CF7" w:rsidRPr="007A7882" w:rsidRDefault="00B90CF7" w:rsidP="007A7882">
            <w:pPr>
              <w:spacing w:after="60" w:line="240" w:lineRule="auto"/>
            </w:pPr>
            <w:r w:rsidRPr="007A7882">
              <w:t>Interest Received</w:t>
            </w:r>
          </w:p>
        </w:tc>
        <w:tc>
          <w:tcPr>
            <w:tcW w:w="1514" w:type="dxa"/>
          </w:tcPr>
          <w:p w:rsidR="00B90CF7" w:rsidRPr="007A7882" w:rsidRDefault="00B90CF7" w:rsidP="007A7882">
            <w:pPr>
              <w:spacing w:after="60" w:line="240" w:lineRule="auto"/>
              <w:jc w:val="right"/>
            </w:pPr>
            <w:r w:rsidRPr="007A7882">
              <w:t>65,968</w:t>
            </w:r>
          </w:p>
        </w:tc>
        <w:tc>
          <w:tcPr>
            <w:tcW w:w="2187" w:type="dxa"/>
          </w:tcPr>
          <w:p w:rsidR="00B90CF7" w:rsidRPr="007A7882" w:rsidRDefault="00B90CF7" w:rsidP="007A7882">
            <w:pPr>
              <w:spacing w:after="60" w:line="240" w:lineRule="auto"/>
              <w:jc w:val="right"/>
            </w:pPr>
            <w:r w:rsidRPr="007A7882">
              <w:t>156,762</w:t>
            </w:r>
          </w:p>
        </w:tc>
      </w:tr>
      <w:tr w:rsidR="00B90CF7" w:rsidRPr="007A7882" w:rsidTr="000234B1">
        <w:trPr>
          <w:jc w:val="center"/>
        </w:trPr>
        <w:tc>
          <w:tcPr>
            <w:tcW w:w="0" w:type="auto"/>
          </w:tcPr>
          <w:p w:rsidR="00B90CF7" w:rsidRPr="007A7882" w:rsidRDefault="00B90CF7" w:rsidP="007A7882">
            <w:pPr>
              <w:spacing w:after="60" w:line="240" w:lineRule="auto"/>
            </w:pPr>
            <w:r w:rsidRPr="007A7882">
              <w:t>Movement in Net Market Values</w:t>
            </w:r>
          </w:p>
        </w:tc>
        <w:tc>
          <w:tcPr>
            <w:tcW w:w="1514" w:type="dxa"/>
          </w:tcPr>
          <w:p w:rsidR="00B90CF7" w:rsidRPr="007A7882" w:rsidRDefault="00B90CF7" w:rsidP="007A7882">
            <w:pPr>
              <w:spacing w:after="60" w:line="240" w:lineRule="auto"/>
              <w:jc w:val="right"/>
            </w:pPr>
            <w:r w:rsidRPr="007A7882">
              <w:t>830,260</w:t>
            </w:r>
          </w:p>
        </w:tc>
        <w:tc>
          <w:tcPr>
            <w:tcW w:w="2187" w:type="dxa"/>
          </w:tcPr>
          <w:p w:rsidR="00B90CF7" w:rsidRPr="007A7882" w:rsidRDefault="00B90CF7" w:rsidP="007A7882">
            <w:pPr>
              <w:spacing w:after="60" w:line="240" w:lineRule="auto"/>
              <w:jc w:val="right"/>
            </w:pPr>
            <w:r w:rsidRPr="007A7882">
              <w:t>(312,145)</w:t>
            </w:r>
          </w:p>
        </w:tc>
      </w:tr>
      <w:tr w:rsidR="00B90CF7" w:rsidRPr="007A7882" w:rsidTr="00F42C98">
        <w:trPr>
          <w:jc w:val="center"/>
        </w:trPr>
        <w:tc>
          <w:tcPr>
            <w:tcW w:w="0" w:type="auto"/>
          </w:tcPr>
          <w:p w:rsidR="00B90CF7" w:rsidRPr="007A7882" w:rsidRDefault="00B90CF7" w:rsidP="007A7882">
            <w:pPr>
              <w:spacing w:after="60" w:line="240" w:lineRule="auto"/>
            </w:pPr>
            <w:r w:rsidRPr="007A7882">
              <w:t>Profit (loss) on Disposal of Investments</w:t>
            </w:r>
          </w:p>
        </w:tc>
        <w:tc>
          <w:tcPr>
            <w:tcW w:w="1514" w:type="dxa"/>
            <w:tcBorders>
              <w:bottom w:val="single" w:sz="4" w:space="0" w:color="auto"/>
            </w:tcBorders>
          </w:tcPr>
          <w:p w:rsidR="00B90CF7" w:rsidRPr="007A7882" w:rsidRDefault="00B90CF7" w:rsidP="007A7882">
            <w:pPr>
              <w:spacing w:after="60" w:line="240" w:lineRule="auto"/>
              <w:jc w:val="right"/>
            </w:pPr>
            <w:r w:rsidRPr="007A7882">
              <w:t>(83,425)</w:t>
            </w:r>
          </w:p>
        </w:tc>
        <w:tc>
          <w:tcPr>
            <w:tcW w:w="2187" w:type="dxa"/>
            <w:tcBorders>
              <w:bottom w:val="single" w:sz="4" w:space="0" w:color="auto"/>
            </w:tcBorders>
          </w:tcPr>
          <w:p w:rsidR="00B90CF7" w:rsidRPr="007A7882" w:rsidRDefault="00B90CF7" w:rsidP="007A7882">
            <w:pPr>
              <w:spacing w:after="60" w:line="240" w:lineRule="auto"/>
              <w:jc w:val="right"/>
            </w:pPr>
            <w:r w:rsidRPr="007A7882">
              <w:t>-</w:t>
            </w:r>
          </w:p>
        </w:tc>
      </w:tr>
      <w:tr w:rsidR="00B90CF7" w:rsidRPr="007A7882" w:rsidTr="00F42C98">
        <w:trPr>
          <w:jc w:val="center"/>
        </w:trPr>
        <w:tc>
          <w:tcPr>
            <w:tcW w:w="0" w:type="auto"/>
          </w:tcPr>
          <w:p w:rsidR="00B90CF7" w:rsidRPr="007A7882" w:rsidRDefault="00B90CF7" w:rsidP="007A7882">
            <w:pPr>
              <w:spacing w:after="60" w:line="240" w:lineRule="auto"/>
            </w:pPr>
          </w:p>
        </w:tc>
        <w:tc>
          <w:tcPr>
            <w:tcW w:w="1514" w:type="dxa"/>
            <w:tcBorders>
              <w:top w:val="single" w:sz="4" w:space="0" w:color="auto"/>
              <w:bottom w:val="double" w:sz="4" w:space="0" w:color="auto"/>
            </w:tcBorders>
          </w:tcPr>
          <w:p w:rsidR="00B90CF7" w:rsidRPr="007A7882" w:rsidRDefault="00B90CF7" w:rsidP="007A7882">
            <w:pPr>
              <w:spacing w:after="60" w:line="240" w:lineRule="auto"/>
              <w:jc w:val="right"/>
            </w:pPr>
            <w:r w:rsidRPr="007A7882">
              <w:t>1,348,580</w:t>
            </w:r>
          </w:p>
        </w:tc>
        <w:tc>
          <w:tcPr>
            <w:tcW w:w="2187" w:type="dxa"/>
            <w:tcBorders>
              <w:top w:val="single" w:sz="4" w:space="0" w:color="auto"/>
              <w:bottom w:val="double" w:sz="4" w:space="0" w:color="auto"/>
            </w:tcBorders>
          </w:tcPr>
          <w:p w:rsidR="00B90CF7" w:rsidRPr="007A7882" w:rsidRDefault="00B90CF7" w:rsidP="007A7882">
            <w:pPr>
              <w:spacing w:after="60" w:line="240" w:lineRule="auto"/>
              <w:jc w:val="right"/>
            </w:pPr>
            <w:r w:rsidRPr="007A7882">
              <w:t>458,750</w:t>
            </w:r>
          </w:p>
        </w:tc>
      </w:tr>
    </w:tbl>
    <w:p w:rsidR="000C7DE9" w:rsidRDefault="000C7DE9" w:rsidP="00B90CF7">
      <w:pPr>
        <w:spacing w:line="240" w:lineRule="auto"/>
      </w:pPr>
    </w:p>
    <w:tbl>
      <w:tblPr>
        <w:tblStyle w:val="TableGrid"/>
        <w:tblW w:w="94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employee expenses"/>
      </w:tblPr>
      <w:tblGrid>
        <w:gridCol w:w="5249"/>
        <w:gridCol w:w="186"/>
        <w:gridCol w:w="33"/>
        <w:gridCol w:w="1512"/>
        <w:gridCol w:w="14"/>
        <w:gridCol w:w="19"/>
        <w:gridCol w:w="2358"/>
        <w:gridCol w:w="14"/>
        <w:gridCol w:w="19"/>
      </w:tblGrid>
      <w:tr w:rsidR="00B90CF7" w:rsidRPr="00D40661" w:rsidTr="00F42C98">
        <w:trPr>
          <w:gridAfter w:val="1"/>
          <w:cnfStyle w:val="100000000000" w:firstRow="1" w:lastRow="0" w:firstColumn="0" w:lastColumn="0" w:oddVBand="0" w:evenVBand="0" w:oddHBand="0" w:evenHBand="0" w:firstRowFirstColumn="0" w:firstRowLastColumn="0" w:lastRowFirstColumn="0" w:lastRowLastColumn="0"/>
          <w:wAfter w:w="19" w:type="dxa"/>
          <w:tblHeader/>
          <w:jc w:val="center"/>
        </w:trPr>
        <w:tc>
          <w:tcPr>
            <w:tcW w:w="5249" w:type="dxa"/>
          </w:tcPr>
          <w:p w:rsidR="00B90CF7" w:rsidRPr="00B90CF7" w:rsidRDefault="00CB5652" w:rsidP="006D2D33">
            <w:pPr>
              <w:pStyle w:val="Heading2"/>
              <w:spacing w:before="0"/>
              <w:outlineLvl w:val="1"/>
            </w:pPr>
            <w:r>
              <w:t>4.</w:t>
            </w:r>
            <w:r w:rsidR="00712378">
              <w:t xml:space="preserve">  </w:t>
            </w:r>
            <w:r w:rsidR="00B90CF7" w:rsidRPr="00B90CF7">
              <w:t>Employee Expenses</w:t>
            </w:r>
          </w:p>
        </w:tc>
        <w:tc>
          <w:tcPr>
            <w:tcW w:w="1745" w:type="dxa"/>
            <w:gridSpan w:val="4"/>
          </w:tcPr>
          <w:p w:rsidR="00B90CF7" w:rsidRPr="00D40661" w:rsidRDefault="00B90CF7" w:rsidP="003206AB">
            <w:pPr>
              <w:spacing w:after="60" w:line="240" w:lineRule="auto"/>
              <w:jc w:val="right"/>
            </w:pPr>
            <w:r>
              <w:rPr>
                <w:color w:val="000000"/>
              </w:rPr>
              <w:t>2013</w:t>
            </w:r>
            <w:r>
              <w:rPr>
                <w:color w:val="000000"/>
              </w:rPr>
              <w:br/>
              <w:t>$</w:t>
            </w:r>
          </w:p>
        </w:tc>
        <w:tc>
          <w:tcPr>
            <w:tcW w:w="2391" w:type="dxa"/>
            <w:gridSpan w:val="3"/>
          </w:tcPr>
          <w:p w:rsidR="00B90CF7" w:rsidRPr="00D40661" w:rsidRDefault="00B90CF7" w:rsidP="003206AB">
            <w:pPr>
              <w:spacing w:after="60" w:line="240" w:lineRule="auto"/>
              <w:jc w:val="right"/>
            </w:pPr>
            <w:r>
              <w:rPr>
                <w:color w:val="000000"/>
              </w:rPr>
              <w:t>2012</w:t>
            </w:r>
            <w:r>
              <w:rPr>
                <w:color w:val="000000"/>
              </w:rPr>
              <w:br/>
              <w:t>$</w:t>
            </w:r>
          </w:p>
        </w:tc>
      </w:tr>
      <w:tr w:rsidR="00B90CF7" w:rsidRPr="00D40661" w:rsidTr="00F42C98">
        <w:trPr>
          <w:gridAfter w:val="2"/>
          <w:wAfter w:w="33" w:type="dxa"/>
          <w:jc w:val="center"/>
        </w:trPr>
        <w:tc>
          <w:tcPr>
            <w:tcW w:w="5435" w:type="dxa"/>
            <w:gridSpan w:val="2"/>
          </w:tcPr>
          <w:p w:rsidR="00B90CF7" w:rsidRPr="00D40661" w:rsidRDefault="00B90CF7" w:rsidP="00362112">
            <w:pPr>
              <w:spacing w:after="60" w:line="240" w:lineRule="auto"/>
            </w:pPr>
            <w:r w:rsidRPr="00D40661">
              <w:rPr>
                <w:color w:val="000000"/>
              </w:rPr>
              <w:t>Wages and salaries</w:t>
            </w:r>
          </w:p>
        </w:tc>
        <w:tc>
          <w:tcPr>
            <w:tcW w:w="1545" w:type="dxa"/>
            <w:gridSpan w:val="2"/>
          </w:tcPr>
          <w:p w:rsidR="00B90CF7" w:rsidRPr="00D40661" w:rsidRDefault="00B90CF7" w:rsidP="00F42C98">
            <w:pPr>
              <w:spacing w:after="60" w:line="240" w:lineRule="auto"/>
              <w:jc w:val="right"/>
            </w:pPr>
            <w:r>
              <w:rPr>
                <w:color w:val="000000"/>
              </w:rPr>
              <w:t>(1,013,007)</w:t>
            </w:r>
          </w:p>
        </w:tc>
        <w:tc>
          <w:tcPr>
            <w:tcW w:w="2391" w:type="dxa"/>
            <w:gridSpan w:val="3"/>
          </w:tcPr>
          <w:p w:rsidR="00B90CF7" w:rsidRPr="00D40661" w:rsidRDefault="00B90CF7" w:rsidP="00F42C98">
            <w:pPr>
              <w:spacing w:after="60" w:line="240" w:lineRule="auto"/>
              <w:jc w:val="right"/>
            </w:pPr>
            <w:r>
              <w:rPr>
                <w:color w:val="000000"/>
              </w:rPr>
              <w:t>(</w:t>
            </w:r>
            <w:r w:rsidRPr="00D40661">
              <w:rPr>
                <w:color w:val="000000"/>
              </w:rPr>
              <w:t>869,066</w:t>
            </w:r>
            <w:r>
              <w:rPr>
                <w:color w:val="000000"/>
              </w:rPr>
              <w:t>)</w:t>
            </w:r>
          </w:p>
        </w:tc>
      </w:tr>
      <w:tr w:rsidR="00B90CF7" w:rsidRPr="00D40661" w:rsidTr="00F42C98">
        <w:trPr>
          <w:gridAfter w:val="2"/>
          <w:wAfter w:w="33" w:type="dxa"/>
          <w:jc w:val="center"/>
        </w:trPr>
        <w:tc>
          <w:tcPr>
            <w:tcW w:w="5435" w:type="dxa"/>
            <w:gridSpan w:val="2"/>
          </w:tcPr>
          <w:p w:rsidR="00B90CF7" w:rsidRPr="00D40661" w:rsidRDefault="00B90CF7" w:rsidP="00362112">
            <w:pPr>
              <w:spacing w:after="60" w:line="240" w:lineRule="auto"/>
            </w:pPr>
            <w:r w:rsidRPr="00D40661">
              <w:rPr>
                <w:color w:val="000000"/>
              </w:rPr>
              <w:t>Superannuation contribution</w:t>
            </w:r>
          </w:p>
        </w:tc>
        <w:tc>
          <w:tcPr>
            <w:tcW w:w="1545" w:type="dxa"/>
            <w:gridSpan w:val="2"/>
          </w:tcPr>
          <w:p w:rsidR="00B90CF7" w:rsidRPr="00D40661" w:rsidRDefault="00B90CF7" w:rsidP="00F42C98">
            <w:pPr>
              <w:spacing w:after="60" w:line="240" w:lineRule="auto"/>
              <w:jc w:val="right"/>
            </w:pPr>
            <w:r>
              <w:rPr>
                <w:color w:val="000000"/>
              </w:rPr>
              <w:t>(90,199)</w:t>
            </w:r>
          </w:p>
        </w:tc>
        <w:tc>
          <w:tcPr>
            <w:tcW w:w="2391" w:type="dxa"/>
            <w:gridSpan w:val="3"/>
          </w:tcPr>
          <w:p w:rsidR="00B90CF7" w:rsidRPr="00D40661" w:rsidRDefault="00B90CF7" w:rsidP="00F42C98">
            <w:pPr>
              <w:spacing w:after="60" w:line="240" w:lineRule="auto"/>
              <w:jc w:val="right"/>
            </w:pPr>
            <w:r>
              <w:rPr>
                <w:color w:val="000000"/>
              </w:rPr>
              <w:t>(</w:t>
            </w:r>
            <w:r w:rsidRPr="00D40661">
              <w:rPr>
                <w:color w:val="000000"/>
              </w:rPr>
              <w:t>76,626</w:t>
            </w:r>
            <w:r>
              <w:rPr>
                <w:color w:val="000000"/>
              </w:rPr>
              <w:t>)</w:t>
            </w:r>
          </w:p>
        </w:tc>
      </w:tr>
      <w:tr w:rsidR="00B90CF7" w:rsidRPr="00D40661" w:rsidTr="00F42C98">
        <w:trPr>
          <w:gridAfter w:val="2"/>
          <w:wAfter w:w="33" w:type="dxa"/>
          <w:jc w:val="center"/>
        </w:trPr>
        <w:tc>
          <w:tcPr>
            <w:tcW w:w="5435" w:type="dxa"/>
            <w:gridSpan w:val="2"/>
          </w:tcPr>
          <w:p w:rsidR="00B90CF7" w:rsidRPr="00D40661" w:rsidRDefault="00B90CF7" w:rsidP="00362112">
            <w:pPr>
              <w:spacing w:after="60" w:line="240" w:lineRule="auto"/>
            </w:pPr>
            <w:r w:rsidRPr="00D40661">
              <w:rPr>
                <w:color w:val="000000"/>
              </w:rPr>
              <w:t>Employee benefits</w:t>
            </w:r>
          </w:p>
        </w:tc>
        <w:tc>
          <w:tcPr>
            <w:tcW w:w="1545" w:type="dxa"/>
            <w:gridSpan w:val="2"/>
          </w:tcPr>
          <w:p w:rsidR="00B90CF7" w:rsidRPr="00D40661" w:rsidRDefault="00B90CF7" w:rsidP="00F42C98">
            <w:pPr>
              <w:spacing w:after="60" w:line="240" w:lineRule="auto"/>
              <w:jc w:val="right"/>
            </w:pPr>
            <w:r>
              <w:rPr>
                <w:color w:val="000000"/>
              </w:rPr>
              <w:t>(30,591)</w:t>
            </w:r>
          </w:p>
        </w:tc>
        <w:tc>
          <w:tcPr>
            <w:tcW w:w="2391" w:type="dxa"/>
            <w:gridSpan w:val="3"/>
          </w:tcPr>
          <w:p w:rsidR="00B90CF7" w:rsidRPr="00D40661" w:rsidRDefault="00B90CF7" w:rsidP="00F42C98">
            <w:pPr>
              <w:spacing w:after="60" w:line="240" w:lineRule="auto"/>
              <w:jc w:val="right"/>
              <w:rPr>
                <w:color w:val="000000"/>
              </w:rPr>
            </w:pPr>
            <w:r>
              <w:rPr>
                <w:color w:val="000000"/>
              </w:rPr>
              <w:t>(</w:t>
            </w:r>
            <w:r w:rsidRPr="00D40661">
              <w:rPr>
                <w:color w:val="000000"/>
              </w:rPr>
              <w:t>14,621</w:t>
            </w:r>
            <w:r>
              <w:rPr>
                <w:color w:val="000000"/>
              </w:rPr>
              <w:t>)</w:t>
            </w:r>
          </w:p>
        </w:tc>
      </w:tr>
      <w:tr w:rsidR="00B90CF7" w:rsidRPr="00D40661" w:rsidTr="00F42C98">
        <w:trPr>
          <w:gridAfter w:val="2"/>
          <w:wAfter w:w="33" w:type="dxa"/>
          <w:jc w:val="center"/>
        </w:trPr>
        <w:tc>
          <w:tcPr>
            <w:tcW w:w="5435" w:type="dxa"/>
            <w:gridSpan w:val="2"/>
          </w:tcPr>
          <w:p w:rsidR="00B90CF7" w:rsidRPr="00D40661" w:rsidRDefault="00B90CF7" w:rsidP="00362112">
            <w:pPr>
              <w:spacing w:after="60" w:line="240" w:lineRule="auto"/>
              <w:rPr>
                <w:color w:val="000000"/>
              </w:rPr>
            </w:pPr>
            <w:r w:rsidRPr="00D40661">
              <w:rPr>
                <w:color w:val="000000"/>
              </w:rPr>
              <w:t>Other</w:t>
            </w:r>
          </w:p>
        </w:tc>
        <w:tc>
          <w:tcPr>
            <w:tcW w:w="1545" w:type="dxa"/>
            <w:gridSpan w:val="2"/>
            <w:tcBorders>
              <w:bottom w:val="single" w:sz="4" w:space="0" w:color="auto"/>
            </w:tcBorders>
          </w:tcPr>
          <w:p w:rsidR="00B90CF7" w:rsidRPr="00D40661" w:rsidRDefault="00B90CF7" w:rsidP="00F42C98">
            <w:pPr>
              <w:spacing w:after="60" w:line="240" w:lineRule="auto"/>
              <w:jc w:val="right"/>
              <w:rPr>
                <w:color w:val="000000"/>
              </w:rPr>
            </w:pPr>
            <w:r>
              <w:rPr>
                <w:color w:val="000000"/>
              </w:rPr>
              <w:t>(156,519)</w:t>
            </w:r>
          </w:p>
        </w:tc>
        <w:tc>
          <w:tcPr>
            <w:tcW w:w="2391" w:type="dxa"/>
            <w:gridSpan w:val="3"/>
            <w:tcBorders>
              <w:bottom w:val="single" w:sz="4" w:space="0" w:color="auto"/>
            </w:tcBorders>
          </w:tcPr>
          <w:p w:rsidR="00B90CF7" w:rsidRPr="00D40661" w:rsidRDefault="00B90CF7" w:rsidP="00F42C98">
            <w:pPr>
              <w:spacing w:after="60" w:line="240" w:lineRule="auto"/>
              <w:jc w:val="right"/>
            </w:pPr>
            <w:r>
              <w:rPr>
                <w:color w:val="000000"/>
              </w:rPr>
              <w:t>(</w:t>
            </w:r>
            <w:r w:rsidRPr="00D40661">
              <w:rPr>
                <w:color w:val="000000"/>
              </w:rPr>
              <w:t>126,422</w:t>
            </w:r>
            <w:r>
              <w:rPr>
                <w:color w:val="000000"/>
              </w:rPr>
              <w:t>)</w:t>
            </w:r>
          </w:p>
        </w:tc>
      </w:tr>
      <w:tr w:rsidR="00B90CF7" w:rsidRPr="00D40661" w:rsidTr="00F42C98">
        <w:trPr>
          <w:jc w:val="center"/>
        </w:trPr>
        <w:tc>
          <w:tcPr>
            <w:tcW w:w="5468" w:type="dxa"/>
            <w:gridSpan w:val="3"/>
          </w:tcPr>
          <w:p w:rsidR="00B90CF7" w:rsidRPr="00D40661" w:rsidRDefault="00B90CF7" w:rsidP="00362112">
            <w:pPr>
              <w:spacing w:after="60" w:line="240" w:lineRule="auto"/>
            </w:pPr>
          </w:p>
        </w:tc>
        <w:tc>
          <w:tcPr>
            <w:tcW w:w="1545" w:type="dxa"/>
            <w:gridSpan w:val="3"/>
            <w:tcBorders>
              <w:top w:val="single" w:sz="4" w:space="0" w:color="auto"/>
              <w:bottom w:val="double" w:sz="4" w:space="0" w:color="auto"/>
            </w:tcBorders>
          </w:tcPr>
          <w:p w:rsidR="00B90CF7" w:rsidRPr="00D40661" w:rsidRDefault="00B90CF7" w:rsidP="003206AB">
            <w:pPr>
              <w:spacing w:after="60" w:line="240" w:lineRule="auto"/>
              <w:jc w:val="right"/>
            </w:pPr>
            <w:r>
              <w:rPr>
                <w:color w:val="000000"/>
              </w:rPr>
              <w:t>(1,290,316)</w:t>
            </w:r>
          </w:p>
        </w:tc>
        <w:tc>
          <w:tcPr>
            <w:tcW w:w="2391" w:type="dxa"/>
            <w:gridSpan w:val="3"/>
            <w:tcBorders>
              <w:top w:val="single" w:sz="4" w:space="0" w:color="auto"/>
              <w:bottom w:val="double" w:sz="4" w:space="0" w:color="auto"/>
            </w:tcBorders>
          </w:tcPr>
          <w:p w:rsidR="00B90CF7" w:rsidRPr="00D40661" w:rsidRDefault="00B90CF7" w:rsidP="003206AB">
            <w:pPr>
              <w:spacing w:after="60" w:line="240" w:lineRule="auto"/>
              <w:jc w:val="right"/>
            </w:pPr>
            <w:r>
              <w:rPr>
                <w:color w:val="000000"/>
              </w:rPr>
              <w:t>(</w:t>
            </w:r>
            <w:r w:rsidRPr="00D40661">
              <w:rPr>
                <w:color w:val="000000"/>
              </w:rPr>
              <w:t>1,086,735</w:t>
            </w:r>
            <w:r>
              <w:rPr>
                <w:color w:val="000000"/>
              </w:rPr>
              <w:t>)</w:t>
            </w:r>
          </w:p>
        </w:tc>
      </w:tr>
    </w:tbl>
    <w:p w:rsidR="00B90CF7" w:rsidRDefault="00B90CF7" w:rsidP="00B90CF7">
      <w:pPr>
        <w:spacing w:line="240" w:lineRule="auto"/>
      </w:pPr>
    </w:p>
    <w:tbl>
      <w:tblPr>
        <w:tblStyle w:val="TableGrid"/>
        <w:tblW w:w="92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auditor remuneration"/>
      </w:tblPr>
      <w:tblGrid>
        <w:gridCol w:w="5326"/>
        <w:gridCol w:w="1554"/>
        <w:gridCol w:w="2365"/>
      </w:tblGrid>
      <w:tr w:rsidR="00B90CF7" w:rsidRPr="00D40661" w:rsidTr="00F42C98">
        <w:trPr>
          <w:cnfStyle w:val="100000000000" w:firstRow="1" w:lastRow="0" w:firstColumn="0" w:lastColumn="0" w:oddVBand="0" w:evenVBand="0" w:oddHBand="0" w:evenHBand="0" w:firstRowFirstColumn="0" w:firstRowLastColumn="0" w:lastRowFirstColumn="0" w:lastRowLastColumn="0"/>
          <w:tblHeader/>
          <w:jc w:val="center"/>
        </w:trPr>
        <w:tc>
          <w:tcPr>
            <w:tcW w:w="5326" w:type="dxa"/>
          </w:tcPr>
          <w:p w:rsidR="00B90CF7" w:rsidRPr="00ED467E" w:rsidRDefault="00CB5652" w:rsidP="006D2D33">
            <w:pPr>
              <w:pStyle w:val="Heading2"/>
              <w:spacing w:before="0"/>
              <w:outlineLvl w:val="1"/>
            </w:pPr>
            <w:r>
              <w:t xml:space="preserve">5. </w:t>
            </w:r>
            <w:r w:rsidR="00712378">
              <w:t xml:space="preserve"> </w:t>
            </w:r>
            <w:r w:rsidR="00B90CF7" w:rsidRPr="00ED467E">
              <w:t>Auditor’s Remuneration</w:t>
            </w:r>
          </w:p>
        </w:tc>
        <w:tc>
          <w:tcPr>
            <w:tcW w:w="1554" w:type="dxa"/>
          </w:tcPr>
          <w:p w:rsidR="00B90CF7" w:rsidRPr="00D40661" w:rsidRDefault="00B90CF7" w:rsidP="003206AB">
            <w:pPr>
              <w:spacing w:after="60" w:line="240" w:lineRule="auto"/>
              <w:jc w:val="right"/>
            </w:pPr>
            <w:r>
              <w:rPr>
                <w:color w:val="000000"/>
              </w:rPr>
              <w:t>2013</w:t>
            </w:r>
            <w:r>
              <w:rPr>
                <w:color w:val="000000"/>
              </w:rPr>
              <w:br/>
              <w:t>$</w:t>
            </w:r>
          </w:p>
        </w:tc>
        <w:tc>
          <w:tcPr>
            <w:tcW w:w="2365" w:type="dxa"/>
          </w:tcPr>
          <w:p w:rsidR="00B90CF7" w:rsidRPr="00D40661" w:rsidRDefault="00B90CF7" w:rsidP="003206AB">
            <w:pPr>
              <w:spacing w:after="60" w:line="240" w:lineRule="auto"/>
              <w:jc w:val="right"/>
            </w:pPr>
            <w:r>
              <w:rPr>
                <w:color w:val="000000"/>
              </w:rPr>
              <w:t>2012</w:t>
            </w:r>
            <w:r>
              <w:rPr>
                <w:color w:val="000000"/>
              </w:rPr>
              <w:br/>
              <w:t>$</w:t>
            </w:r>
          </w:p>
        </w:tc>
      </w:tr>
      <w:tr w:rsidR="00B90CF7" w:rsidRPr="00D40661" w:rsidTr="00F42C98">
        <w:trPr>
          <w:jc w:val="center"/>
        </w:trPr>
        <w:tc>
          <w:tcPr>
            <w:tcW w:w="5326" w:type="dxa"/>
          </w:tcPr>
          <w:p w:rsidR="00B90CF7" w:rsidRPr="00D40661" w:rsidRDefault="00B90CF7" w:rsidP="00362112">
            <w:pPr>
              <w:spacing w:after="60" w:line="240" w:lineRule="auto"/>
              <w:rPr>
                <w:color w:val="000000"/>
              </w:rPr>
            </w:pPr>
            <w:r w:rsidRPr="00D40661">
              <w:rPr>
                <w:color w:val="000000"/>
              </w:rPr>
              <w:t>Audit Services</w:t>
            </w:r>
          </w:p>
        </w:tc>
        <w:tc>
          <w:tcPr>
            <w:tcW w:w="1554" w:type="dxa"/>
            <w:tcBorders>
              <w:bottom w:val="single" w:sz="4" w:space="0" w:color="auto"/>
            </w:tcBorders>
          </w:tcPr>
          <w:p w:rsidR="00B90CF7" w:rsidRPr="00D40661" w:rsidRDefault="00B90CF7" w:rsidP="003206AB">
            <w:pPr>
              <w:spacing w:after="60" w:line="240" w:lineRule="auto"/>
              <w:jc w:val="right"/>
              <w:rPr>
                <w:color w:val="000000"/>
              </w:rPr>
            </w:pPr>
            <w:r>
              <w:rPr>
                <w:color w:val="000000"/>
              </w:rPr>
              <w:t>(</w:t>
            </w:r>
            <w:r w:rsidRPr="00D40661">
              <w:rPr>
                <w:color w:val="000000"/>
              </w:rPr>
              <w:t>14,740</w:t>
            </w:r>
            <w:r>
              <w:rPr>
                <w:color w:val="000000"/>
              </w:rPr>
              <w:t>)</w:t>
            </w:r>
          </w:p>
        </w:tc>
        <w:tc>
          <w:tcPr>
            <w:tcW w:w="2365" w:type="dxa"/>
            <w:tcBorders>
              <w:bottom w:val="single" w:sz="4" w:space="0" w:color="auto"/>
            </w:tcBorders>
          </w:tcPr>
          <w:p w:rsidR="00B90CF7" w:rsidRPr="00D40661" w:rsidRDefault="00B90CF7" w:rsidP="003206AB">
            <w:pPr>
              <w:spacing w:after="60" w:line="240" w:lineRule="auto"/>
              <w:jc w:val="right"/>
            </w:pPr>
            <w:r>
              <w:rPr>
                <w:color w:val="000000"/>
              </w:rPr>
              <w:t>(</w:t>
            </w:r>
            <w:r w:rsidRPr="00D40661">
              <w:rPr>
                <w:color w:val="000000"/>
              </w:rPr>
              <w:t>14,740</w:t>
            </w:r>
            <w:r>
              <w:rPr>
                <w:color w:val="000000"/>
              </w:rPr>
              <w:t>)</w:t>
            </w:r>
          </w:p>
        </w:tc>
      </w:tr>
      <w:tr w:rsidR="00B90CF7" w:rsidRPr="00D40661" w:rsidTr="00F42C98">
        <w:trPr>
          <w:jc w:val="center"/>
        </w:trPr>
        <w:tc>
          <w:tcPr>
            <w:tcW w:w="5326" w:type="dxa"/>
          </w:tcPr>
          <w:p w:rsidR="00B90CF7" w:rsidRPr="00D40661" w:rsidRDefault="00B90CF7" w:rsidP="00362112">
            <w:pPr>
              <w:spacing w:after="60" w:line="240" w:lineRule="auto"/>
            </w:pPr>
          </w:p>
        </w:tc>
        <w:tc>
          <w:tcPr>
            <w:tcW w:w="1554" w:type="dxa"/>
            <w:tcBorders>
              <w:top w:val="single" w:sz="4" w:space="0" w:color="auto"/>
              <w:bottom w:val="double" w:sz="4" w:space="0" w:color="auto"/>
            </w:tcBorders>
          </w:tcPr>
          <w:p w:rsidR="00B90CF7" w:rsidRPr="00D40661" w:rsidRDefault="00B90CF7" w:rsidP="003206AB">
            <w:pPr>
              <w:spacing w:after="60" w:line="240" w:lineRule="auto"/>
              <w:jc w:val="right"/>
            </w:pPr>
            <w:r>
              <w:rPr>
                <w:color w:val="000000"/>
              </w:rPr>
              <w:t>(</w:t>
            </w:r>
            <w:r w:rsidRPr="00D40661">
              <w:rPr>
                <w:color w:val="000000"/>
              </w:rPr>
              <w:t>14,740</w:t>
            </w:r>
            <w:r>
              <w:rPr>
                <w:color w:val="000000"/>
              </w:rPr>
              <w:t>)</w:t>
            </w:r>
          </w:p>
        </w:tc>
        <w:tc>
          <w:tcPr>
            <w:tcW w:w="2365" w:type="dxa"/>
            <w:tcBorders>
              <w:top w:val="single" w:sz="4" w:space="0" w:color="auto"/>
              <w:bottom w:val="double" w:sz="4" w:space="0" w:color="auto"/>
            </w:tcBorders>
          </w:tcPr>
          <w:p w:rsidR="00B90CF7" w:rsidRPr="00D40661" w:rsidRDefault="00B90CF7" w:rsidP="003206AB">
            <w:pPr>
              <w:spacing w:after="60" w:line="240" w:lineRule="auto"/>
              <w:jc w:val="right"/>
            </w:pPr>
            <w:r>
              <w:rPr>
                <w:color w:val="000000"/>
              </w:rPr>
              <w:t>(</w:t>
            </w:r>
            <w:r w:rsidRPr="00D40661">
              <w:rPr>
                <w:color w:val="000000"/>
              </w:rPr>
              <w:t>14,740</w:t>
            </w:r>
            <w:r>
              <w:rPr>
                <w:color w:val="000000"/>
              </w:rPr>
              <w:t>)</w:t>
            </w:r>
          </w:p>
        </w:tc>
      </w:tr>
    </w:tbl>
    <w:p w:rsidR="00B90CF7" w:rsidRDefault="00B90CF7" w:rsidP="00B90CF7">
      <w:pPr>
        <w:spacing w:line="240" w:lineRule="auto"/>
      </w:pPr>
    </w:p>
    <w:tbl>
      <w:tblPr>
        <w:tblStyle w:val="TableGrid"/>
        <w:tblW w:w="92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ash and cash equivalents"/>
      </w:tblPr>
      <w:tblGrid>
        <w:gridCol w:w="5326"/>
        <w:gridCol w:w="1555"/>
        <w:gridCol w:w="2348"/>
      </w:tblGrid>
      <w:tr w:rsidR="00B90CF7" w:rsidRPr="00D40661" w:rsidTr="00F42C98">
        <w:trPr>
          <w:cnfStyle w:val="100000000000" w:firstRow="1" w:lastRow="0" w:firstColumn="0" w:lastColumn="0" w:oddVBand="0" w:evenVBand="0" w:oddHBand="0" w:evenHBand="0" w:firstRowFirstColumn="0" w:firstRowLastColumn="0" w:lastRowFirstColumn="0" w:lastRowLastColumn="0"/>
          <w:tblHeader/>
          <w:jc w:val="center"/>
        </w:trPr>
        <w:tc>
          <w:tcPr>
            <w:tcW w:w="5326" w:type="dxa"/>
          </w:tcPr>
          <w:p w:rsidR="00B90CF7" w:rsidRPr="00D40661" w:rsidRDefault="00712378" w:rsidP="006D2D33">
            <w:pPr>
              <w:pStyle w:val="Heading2"/>
              <w:spacing w:before="0"/>
              <w:outlineLvl w:val="1"/>
            </w:pPr>
            <w:r>
              <w:t xml:space="preserve">6.  </w:t>
            </w:r>
            <w:r w:rsidR="00B90CF7" w:rsidRPr="00ED467E">
              <w:t>Cash and Cash Equivalents</w:t>
            </w:r>
          </w:p>
        </w:tc>
        <w:tc>
          <w:tcPr>
            <w:tcW w:w="1555" w:type="dxa"/>
          </w:tcPr>
          <w:p w:rsidR="00B90CF7" w:rsidRPr="00D40661" w:rsidRDefault="00B90CF7" w:rsidP="003206AB">
            <w:pPr>
              <w:spacing w:after="60" w:line="240" w:lineRule="auto"/>
              <w:jc w:val="right"/>
            </w:pPr>
            <w:r>
              <w:rPr>
                <w:color w:val="000000"/>
              </w:rPr>
              <w:t>2013</w:t>
            </w:r>
            <w:r>
              <w:rPr>
                <w:color w:val="000000"/>
              </w:rPr>
              <w:br/>
              <w:t>$</w:t>
            </w:r>
          </w:p>
        </w:tc>
        <w:tc>
          <w:tcPr>
            <w:tcW w:w="2348" w:type="dxa"/>
          </w:tcPr>
          <w:p w:rsidR="00B90CF7" w:rsidRPr="00D40661" w:rsidRDefault="00B90CF7" w:rsidP="003206AB">
            <w:pPr>
              <w:spacing w:after="60" w:line="240" w:lineRule="auto"/>
              <w:jc w:val="right"/>
            </w:pPr>
            <w:r>
              <w:rPr>
                <w:color w:val="000000"/>
              </w:rPr>
              <w:t>2012</w:t>
            </w:r>
            <w:r>
              <w:rPr>
                <w:color w:val="000000"/>
              </w:rPr>
              <w:br/>
              <w:t>$</w:t>
            </w:r>
          </w:p>
        </w:tc>
      </w:tr>
      <w:tr w:rsidR="00B90CF7" w:rsidRPr="00D40661" w:rsidTr="00F42C98">
        <w:trPr>
          <w:jc w:val="center"/>
        </w:trPr>
        <w:tc>
          <w:tcPr>
            <w:tcW w:w="5326" w:type="dxa"/>
          </w:tcPr>
          <w:p w:rsidR="00B90CF7" w:rsidRPr="00D40661" w:rsidRDefault="00B90CF7" w:rsidP="00362112">
            <w:pPr>
              <w:spacing w:after="60" w:line="240" w:lineRule="auto"/>
            </w:pPr>
            <w:r w:rsidRPr="00D40661">
              <w:rPr>
                <w:color w:val="000000"/>
              </w:rPr>
              <w:t>Cash on Hand</w:t>
            </w:r>
          </w:p>
        </w:tc>
        <w:tc>
          <w:tcPr>
            <w:tcW w:w="1555" w:type="dxa"/>
          </w:tcPr>
          <w:p w:rsidR="00B90CF7" w:rsidRPr="00D40661" w:rsidRDefault="00B90CF7" w:rsidP="003206AB">
            <w:pPr>
              <w:spacing w:after="60" w:line="240" w:lineRule="auto"/>
              <w:jc w:val="right"/>
            </w:pPr>
            <w:r w:rsidRPr="00D40661">
              <w:rPr>
                <w:color w:val="000000"/>
              </w:rPr>
              <w:t>200</w:t>
            </w:r>
          </w:p>
        </w:tc>
        <w:tc>
          <w:tcPr>
            <w:tcW w:w="2348" w:type="dxa"/>
          </w:tcPr>
          <w:p w:rsidR="00B90CF7" w:rsidRPr="00D40661" w:rsidRDefault="00B90CF7" w:rsidP="003206AB">
            <w:pPr>
              <w:spacing w:after="60" w:line="240" w:lineRule="auto"/>
              <w:jc w:val="right"/>
            </w:pPr>
            <w:r w:rsidRPr="00D40661">
              <w:rPr>
                <w:color w:val="000000"/>
              </w:rPr>
              <w:t>200</w:t>
            </w:r>
          </w:p>
        </w:tc>
      </w:tr>
      <w:tr w:rsidR="00B90CF7" w:rsidRPr="00D40661" w:rsidTr="00F42C98">
        <w:trPr>
          <w:jc w:val="center"/>
        </w:trPr>
        <w:tc>
          <w:tcPr>
            <w:tcW w:w="5326" w:type="dxa"/>
          </w:tcPr>
          <w:p w:rsidR="00B90CF7" w:rsidRPr="00D40661" w:rsidRDefault="00B90CF7" w:rsidP="00362112">
            <w:pPr>
              <w:spacing w:after="60" w:line="240" w:lineRule="auto"/>
            </w:pPr>
            <w:r w:rsidRPr="00D40661">
              <w:rPr>
                <w:color w:val="000000"/>
              </w:rPr>
              <w:t>Cash at Bank</w:t>
            </w:r>
          </w:p>
        </w:tc>
        <w:tc>
          <w:tcPr>
            <w:tcW w:w="1555" w:type="dxa"/>
          </w:tcPr>
          <w:p w:rsidR="00B90CF7" w:rsidRPr="00D40661" w:rsidRDefault="00B90CF7" w:rsidP="003206AB">
            <w:pPr>
              <w:spacing w:after="60" w:line="240" w:lineRule="auto"/>
              <w:jc w:val="right"/>
            </w:pPr>
            <w:r>
              <w:rPr>
                <w:color w:val="000000"/>
              </w:rPr>
              <w:t>1,383,852</w:t>
            </w:r>
          </w:p>
        </w:tc>
        <w:tc>
          <w:tcPr>
            <w:tcW w:w="2348" w:type="dxa"/>
          </w:tcPr>
          <w:p w:rsidR="00B90CF7" w:rsidRPr="00D40661" w:rsidRDefault="00B90CF7" w:rsidP="003206AB">
            <w:pPr>
              <w:spacing w:after="60" w:line="240" w:lineRule="auto"/>
              <w:jc w:val="right"/>
            </w:pPr>
            <w:r w:rsidRPr="00D40661">
              <w:rPr>
                <w:color w:val="000000"/>
              </w:rPr>
              <w:t>860,188</w:t>
            </w:r>
          </w:p>
        </w:tc>
      </w:tr>
      <w:tr w:rsidR="00B90CF7" w:rsidRPr="00D40661" w:rsidTr="00F42C98">
        <w:trPr>
          <w:jc w:val="center"/>
        </w:trPr>
        <w:tc>
          <w:tcPr>
            <w:tcW w:w="5326" w:type="dxa"/>
          </w:tcPr>
          <w:p w:rsidR="00B90CF7" w:rsidRPr="00D40661" w:rsidRDefault="00B90CF7" w:rsidP="00362112">
            <w:pPr>
              <w:spacing w:after="60" w:line="240" w:lineRule="auto"/>
            </w:pPr>
            <w:r w:rsidRPr="00D40661">
              <w:rPr>
                <w:color w:val="000000"/>
              </w:rPr>
              <w:t>Short-term Deposits</w:t>
            </w:r>
          </w:p>
        </w:tc>
        <w:tc>
          <w:tcPr>
            <w:tcW w:w="1555" w:type="dxa"/>
            <w:tcBorders>
              <w:bottom w:val="single" w:sz="4" w:space="0" w:color="auto"/>
            </w:tcBorders>
          </w:tcPr>
          <w:p w:rsidR="00B90CF7" w:rsidRPr="00D40661" w:rsidRDefault="00B90CF7" w:rsidP="003206AB">
            <w:pPr>
              <w:spacing w:after="60" w:line="240" w:lineRule="auto"/>
              <w:jc w:val="right"/>
            </w:pPr>
            <w:r>
              <w:rPr>
                <w:color w:val="000000"/>
              </w:rPr>
              <w:t>27,459</w:t>
            </w:r>
          </w:p>
        </w:tc>
        <w:tc>
          <w:tcPr>
            <w:tcW w:w="2348" w:type="dxa"/>
            <w:tcBorders>
              <w:bottom w:val="single" w:sz="4" w:space="0" w:color="auto"/>
            </w:tcBorders>
          </w:tcPr>
          <w:p w:rsidR="00B90CF7" w:rsidRPr="00D40661" w:rsidRDefault="00B90CF7" w:rsidP="003206AB">
            <w:pPr>
              <w:spacing w:after="60" w:line="240" w:lineRule="auto"/>
              <w:jc w:val="right"/>
            </w:pPr>
            <w:r w:rsidRPr="00D40661">
              <w:rPr>
                <w:color w:val="000000"/>
              </w:rPr>
              <w:t>1,565,725</w:t>
            </w:r>
          </w:p>
        </w:tc>
      </w:tr>
      <w:tr w:rsidR="00B90CF7" w:rsidRPr="00D40661" w:rsidTr="00F42C98">
        <w:trPr>
          <w:jc w:val="center"/>
        </w:trPr>
        <w:tc>
          <w:tcPr>
            <w:tcW w:w="5326" w:type="dxa"/>
          </w:tcPr>
          <w:p w:rsidR="00B90CF7" w:rsidRPr="00D40661" w:rsidRDefault="00B90CF7" w:rsidP="00362112">
            <w:pPr>
              <w:spacing w:after="60" w:line="240" w:lineRule="auto"/>
            </w:pPr>
          </w:p>
        </w:tc>
        <w:tc>
          <w:tcPr>
            <w:tcW w:w="1555" w:type="dxa"/>
            <w:tcBorders>
              <w:top w:val="single" w:sz="4" w:space="0" w:color="auto"/>
              <w:bottom w:val="double" w:sz="4" w:space="0" w:color="auto"/>
            </w:tcBorders>
          </w:tcPr>
          <w:p w:rsidR="00B90CF7" w:rsidRPr="00D40661" w:rsidRDefault="00B90CF7" w:rsidP="003206AB">
            <w:pPr>
              <w:spacing w:after="60" w:line="240" w:lineRule="auto"/>
              <w:jc w:val="right"/>
            </w:pPr>
            <w:r>
              <w:rPr>
                <w:color w:val="000000"/>
              </w:rPr>
              <w:t>1,411,511</w:t>
            </w:r>
          </w:p>
        </w:tc>
        <w:tc>
          <w:tcPr>
            <w:tcW w:w="2348" w:type="dxa"/>
            <w:tcBorders>
              <w:top w:val="single" w:sz="4" w:space="0" w:color="auto"/>
              <w:bottom w:val="double" w:sz="4" w:space="0" w:color="auto"/>
            </w:tcBorders>
          </w:tcPr>
          <w:p w:rsidR="00B90CF7" w:rsidRPr="00D40661" w:rsidRDefault="00B90CF7" w:rsidP="003206AB">
            <w:pPr>
              <w:spacing w:after="60" w:line="240" w:lineRule="auto"/>
              <w:jc w:val="right"/>
            </w:pPr>
            <w:r w:rsidRPr="00D40661">
              <w:rPr>
                <w:color w:val="000000"/>
              </w:rPr>
              <w:t>2,426,112</w:t>
            </w:r>
          </w:p>
        </w:tc>
      </w:tr>
    </w:tbl>
    <w:p w:rsidR="00D2400B" w:rsidRPr="00F24634" w:rsidRDefault="00D2400B" w:rsidP="00F42C98">
      <w:pPr>
        <w:widowControl w:val="0"/>
        <w:autoSpaceDE w:val="0"/>
        <w:autoSpaceDN w:val="0"/>
        <w:adjustRightInd w:val="0"/>
        <w:spacing w:after="100" w:afterAutospacing="1" w:line="240" w:lineRule="exact"/>
        <w:rPr>
          <w:rFonts w:ascii="Times New Roman" w:hAnsi="Times New Roman"/>
          <w:i/>
          <w:iCs/>
          <w:color w:val="000000"/>
          <w:sz w:val="16"/>
          <w:szCs w:val="16"/>
        </w:rPr>
      </w:pPr>
    </w:p>
    <w:p w:rsidR="00D2400B" w:rsidRDefault="00D2400B" w:rsidP="00712543">
      <w:pPr>
        <w:widowControl w:val="0"/>
        <w:autoSpaceDE w:val="0"/>
        <w:autoSpaceDN w:val="0"/>
        <w:adjustRightInd w:val="0"/>
        <w:spacing w:before="720" w:after="0" w:line="240" w:lineRule="auto"/>
        <w:ind w:left="1728" w:right="1176"/>
        <w:jc w:val="center"/>
        <w:rPr>
          <w:rFonts w:cstheme="minorHAnsi"/>
          <w:color w:val="000000"/>
        </w:rPr>
      </w:pPr>
      <w:r w:rsidRPr="00105329">
        <w:rPr>
          <w:rFonts w:cstheme="minorHAnsi"/>
          <w:i/>
          <w:iCs/>
          <w:color w:val="000000"/>
          <w:szCs w:val="16"/>
        </w:rPr>
        <w:t>These notes form part of the financial statements</w:t>
      </w:r>
    </w:p>
    <w:p w:rsidR="00685106" w:rsidRPr="00E171F7" w:rsidRDefault="00685106" w:rsidP="000C5471">
      <w:pPr>
        <w:rPr>
          <w:sz w:val="48"/>
        </w:rPr>
      </w:pPr>
      <w:r w:rsidRPr="00E171F7">
        <w:rPr>
          <w:sz w:val="48"/>
        </w:rPr>
        <w:lastRenderedPageBreak/>
        <w:t>Notes to the Financial Statements</w:t>
      </w:r>
    </w:p>
    <w:p w:rsidR="00685106" w:rsidRPr="00E171F7" w:rsidRDefault="00685106" w:rsidP="000C5471">
      <w:pPr>
        <w:rPr>
          <w:b/>
          <w:sz w:val="24"/>
          <w:szCs w:val="24"/>
        </w:rPr>
      </w:pPr>
      <w:r w:rsidRPr="00E171F7">
        <w:rPr>
          <w:b/>
        </w:rPr>
        <w:t>For the Year ended 30 June 2013</w:t>
      </w:r>
    </w:p>
    <w:tbl>
      <w:tblPr>
        <w:tblStyle w:val="TableGrid"/>
        <w:tblW w:w="92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rade and other receivables"/>
      </w:tblPr>
      <w:tblGrid>
        <w:gridCol w:w="5326"/>
        <w:gridCol w:w="1588"/>
        <w:gridCol w:w="2318"/>
      </w:tblGrid>
      <w:tr w:rsidR="00362112" w:rsidRPr="00362112" w:rsidTr="00F42C98">
        <w:trPr>
          <w:cnfStyle w:val="100000000000" w:firstRow="1" w:lastRow="0" w:firstColumn="0" w:lastColumn="0" w:oddVBand="0" w:evenVBand="0" w:oddHBand="0" w:evenHBand="0" w:firstRowFirstColumn="0" w:firstRowLastColumn="0" w:lastRowFirstColumn="0" w:lastRowLastColumn="0"/>
          <w:tblHeader/>
          <w:jc w:val="center"/>
        </w:trPr>
        <w:tc>
          <w:tcPr>
            <w:tcW w:w="5326" w:type="dxa"/>
          </w:tcPr>
          <w:p w:rsidR="00362112" w:rsidRPr="00362112" w:rsidRDefault="00CB5652" w:rsidP="006D2D33">
            <w:pPr>
              <w:pStyle w:val="Heading2"/>
              <w:spacing w:before="0"/>
              <w:outlineLvl w:val="1"/>
              <w:rPr>
                <w:sz w:val="24"/>
                <w:szCs w:val="24"/>
              </w:rPr>
            </w:pPr>
            <w:r>
              <w:t>7.</w:t>
            </w:r>
            <w:r w:rsidR="00712378">
              <w:t xml:space="preserve"> </w:t>
            </w:r>
            <w:r>
              <w:t xml:space="preserve"> </w:t>
            </w:r>
            <w:r w:rsidR="00362112" w:rsidRPr="00362112">
              <w:t>Trade and Other Receivables</w:t>
            </w:r>
          </w:p>
        </w:tc>
        <w:tc>
          <w:tcPr>
            <w:tcW w:w="1588" w:type="dxa"/>
          </w:tcPr>
          <w:p w:rsidR="00362112" w:rsidRPr="00362112" w:rsidRDefault="00362112" w:rsidP="00182357">
            <w:pPr>
              <w:spacing w:after="60" w:line="240" w:lineRule="auto"/>
              <w:ind w:left="240"/>
              <w:jc w:val="right"/>
              <w:rPr>
                <w:rFonts w:cstheme="minorHAnsi"/>
              </w:rPr>
            </w:pPr>
            <w:r w:rsidRPr="00362112">
              <w:rPr>
                <w:rFonts w:cstheme="minorHAnsi"/>
                <w:color w:val="000000"/>
              </w:rPr>
              <w:t>2013</w:t>
            </w:r>
            <w:r w:rsidRPr="00362112">
              <w:rPr>
                <w:rFonts w:cstheme="minorHAnsi"/>
                <w:color w:val="000000"/>
              </w:rPr>
              <w:br/>
              <w:t>$</w:t>
            </w:r>
          </w:p>
        </w:tc>
        <w:tc>
          <w:tcPr>
            <w:tcW w:w="2318" w:type="dxa"/>
          </w:tcPr>
          <w:p w:rsidR="00362112" w:rsidRPr="00362112" w:rsidRDefault="00362112" w:rsidP="00182357">
            <w:pPr>
              <w:spacing w:after="60" w:line="240" w:lineRule="auto"/>
              <w:ind w:left="240"/>
              <w:jc w:val="right"/>
              <w:rPr>
                <w:rFonts w:cstheme="minorHAnsi"/>
              </w:rPr>
            </w:pPr>
            <w:r w:rsidRPr="00362112">
              <w:rPr>
                <w:rFonts w:cstheme="minorHAnsi"/>
                <w:color w:val="000000"/>
              </w:rPr>
              <w:t>2012</w:t>
            </w:r>
            <w:r w:rsidRPr="00362112">
              <w:rPr>
                <w:rFonts w:cstheme="minorHAnsi"/>
                <w:color w:val="000000"/>
              </w:rPr>
              <w:br/>
              <w:t>$</w:t>
            </w:r>
          </w:p>
        </w:tc>
      </w:tr>
      <w:tr w:rsidR="007E4389" w:rsidRPr="00362112" w:rsidTr="00F42C98">
        <w:trPr>
          <w:jc w:val="center"/>
        </w:trPr>
        <w:tc>
          <w:tcPr>
            <w:tcW w:w="5326" w:type="dxa"/>
          </w:tcPr>
          <w:p w:rsidR="007E4389" w:rsidRPr="007E4389" w:rsidRDefault="007E4389" w:rsidP="006D2D33">
            <w:pPr>
              <w:widowControl w:val="0"/>
              <w:autoSpaceDE w:val="0"/>
              <w:autoSpaceDN w:val="0"/>
              <w:adjustRightInd w:val="0"/>
              <w:spacing w:before="100" w:beforeAutospacing="1" w:after="60"/>
              <w:ind w:left="776" w:hanging="776"/>
              <w:rPr>
                <w:rFonts w:cstheme="minorHAnsi"/>
                <w:b/>
                <w:color w:val="000000"/>
              </w:rPr>
            </w:pPr>
            <w:r>
              <w:rPr>
                <w:rFonts w:cstheme="minorHAnsi"/>
                <w:b/>
                <w:color w:val="000000"/>
              </w:rPr>
              <w:t>Current</w:t>
            </w:r>
          </w:p>
        </w:tc>
        <w:tc>
          <w:tcPr>
            <w:tcW w:w="1588" w:type="dxa"/>
          </w:tcPr>
          <w:p w:rsidR="007E4389" w:rsidRPr="00362112" w:rsidRDefault="007E4389" w:rsidP="00F42C98">
            <w:pPr>
              <w:widowControl w:val="0"/>
              <w:autoSpaceDE w:val="0"/>
              <w:autoSpaceDN w:val="0"/>
              <w:adjustRightInd w:val="0"/>
              <w:spacing w:before="100" w:beforeAutospacing="1" w:after="60"/>
              <w:ind w:left="240"/>
              <w:jc w:val="right"/>
              <w:rPr>
                <w:rFonts w:cstheme="minorHAnsi"/>
                <w:color w:val="000000"/>
              </w:rPr>
            </w:pPr>
          </w:p>
        </w:tc>
        <w:tc>
          <w:tcPr>
            <w:tcW w:w="2318" w:type="dxa"/>
          </w:tcPr>
          <w:p w:rsidR="007E4389" w:rsidRPr="00362112" w:rsidRDefault="007E4389" w:rsidP="00182357">
            <w:pPr>
              <w:widowControl w:val="0"/>
              <w:autoSpaceDE w:val="0"/>
              <w:autoSpaceDN w:val="0"/>
              <w:adjustRightInd w:val="0"/>
              <w:spacing w:before="100" w:beforeAutospacing="1" w:after="60"/>
              <w:ind w:left="240"/>
              <w:jc w:val="right"/>
              <w:rPr>
                <w:rFonts w:cstheme="minorHAnsi"/>
                <w:color w:val="000000"/>
              </w:rPr>
            </w:pPr>
          </w:p>
        </w:tc>
      </w:tr>
      <w:tr w:rsidR="00D2400B" w:rsidRPr="00362112" w:rsidTr="00F42C98">
        <w:trPr>
          <w:jc w:val="center"/>
        </w:trPr>
        <w:tc>
          <w:tcPr>
            <w:tcW w:w="5326" w:type="dxa"/>
          </w:tcPr>
          <w:p w:rsidR="00D2400B" w:rsidRPr="00362112" w:rsidRDefault="007E4389" w:rsidP="00832B35">
            <w:pPr>
              <w:widowControl w:val="0"/>
              <w:autoSpaceDE w:val="0"/>
              <w:autoSpaceDN w:val="0"/>
              <w:adjustRightInd w:val="0"/>
              <w:spacing w:before="100" w:beforeAutospacing="1" w:after="60"/>
              <w:ind w:left="776" w:hanging="776"/>
              <w:rPr>
                <w:rFonts w:cstheme="minorHAnsi"/>
              </w:rPr>
            </w:pPr>
            <w:r>
              <w:rPr>
                <w:rFonts w:cstheme="minorHAnsi"/>
                <w:color w:val="000000"/>
              </w:rPr>
              <w:t>T</w:t>
            </w:r>
            <w:r w:rsidR="00D2400B" w:rsidRPr="00362112">
              <w:rPr>
                <w:rFonts w:cstheme="minorHAnsi"/>
                <w:color w:val="000000"/>
              </w:rPr>
              <w:t>rade and other receivables</w:t>
            </w:r>
          </w:p>
        </w:tc>
        <w:tc>
          <w:tcPr>
            <w:tcW w:w="1588" w:type="dxa"/>
            <w:tcBorders>
              <w:bottom w:val="single" w:sz="4" w:space="0" w:color="auto"/>
            </w:tcBorders>
          </w:tcPr>
          <w:p w:rsidR="00D2400B" w:rsidRPr="00362112" w:rsidRDefault="00D2400B" w:rsidP="00182357">
            <w:pPr>
              <w:widowControl w:val="0"/>
              <w:autoSpaceDE w:val="0"/>
              <w:autoSpaceDN w:val="0"/>
              <w:adjustRightInd w:val="0"/>
              <w:spacing w:before="100" w:beforeAutospacing="1" w:after="60"/>
              <w:ind w:left="240"/>
              <w:jc w:val="right"/>
              <w:rPr>
                <w:rFonts w:cstheme="minorHAnsi"/>
              </w:rPr>
            </w:pPr>
            <w:r w:rsidRPr="00362112">
              <w:rPr>
                <w:rFonts w:cstheme="minorHAnsi"/>
                <w:color w:val="000000"/>
              </w:rPr>
              <w:t>101,334</w:t>
            </w:r>
          </w:p>
        </w:tc>
        <w:tc>
          <w:tcPr>
            <w:tcW w:w="2318" w:type="dxa"/>
            <w:tcBorders>
              <w:bottom w:val="single" w:sz="4" w:space="0" w:color="auto"/>
            </w:tcBorders>
          </w:tcPr>
          <w:p w:rsidR="00D2400B" w:rsidRPr="00362112" w:rsidRDefault="00D2400B" w:rsidP="00182357">
            <w:pPr>
              <w:widowControl w:val="0"/>
              <w:autoSpaceDE w:val="0"/>
              <w:autoSpaceDN w:val="0"/>
              <w:adjustRightInd w:val="0"/>
              <w:spacing w:before="100" w:beforeAutospacing="1" w:after="60"/>
              <w:ind w:left="240"/>
              <w:jc w:val="right"/>
              <w:rPr>
                <w:rFonts w:cstheme="minorHAnsi"/>
              </w:rPr>
            </w:pPr>
            <w:r w:rsidRPr="00362112">
              <w:rPr>
                <w:rFonts w:cstheme="minorHAnsi"/>
                <w:color w:val="000000"/>
              </w:rPr>
              <w:t>124,573</w:t>
            </w:r>
          </w:p>
        </w:tc>
      </w:tr>
      <w:tr w:rsidR="00D2400B" w:rsidRPr="00362112" w:rsidTr="00F42C98">
        <w:trPr>
          <w:jc w:val="center"/>
        </w:trPr>
        <w:tc>
          <w:tcPr>
            <w:tcW w:w="5326" w:type="dxa"/>
          </w:tcPr>
          <w:p w:rsidR="00D2400B" w:rsidRPr="00362112" w:rsidRDefault="00D2400B" w:rsidP="00CB5652">
            <w:pPr>
              <w:widowControl w:val="0"/>
              <w:autoSpaceDE w:val="0"/>
              <w:autoSpaceDN w:val="0"/>
              <w:adjustRightInd w:val="0"/>
              <w:spacing w:before="100" w:beforeAutospacing="1" w:after="60" w:line="240" w:lineRule="exact"/>
              <w:rPr>
                <w:rFonts w:cstheme="minorHAnsi"/>
              </w:rPr>
            </w:pPr>
            <w:r w:rsidRPr="00362112">
              <w:rPr>
                <w:rFonts w:cstheme="minorHAnsi"/>
                <w:b/>
                <w:bCs/>
                <w:color w:val="000000"/>
              </w:rPr>
              <w:t>Total Trade and Other Receivables</w:t>
            </w:r>
          </w:p>
        </w:tc>
        <w:tc>
          <w:tcPr>
            <w:tcW w:w="1588" w:type="dxa"/>
            <w:tcBorders>
              <w:top w:val="single" w:sz="4" w:space="0" w:color="auto"/>
              <w:bottom w:val="double" w:sz="4" w:space="0" w:color="auto"/>
            </w:tcBorders>
          </w:tcPr>
          <w:p w:rsidR="00D2400B" w:rsidRPr="00362112" w:rsidRDefault="00D2400B" w:rsidP="00832B35">
            <w:pPr>
              <w:widowControl w:val="0"/>
              <w:autoSpaceDE w:val="0"/>
              <w:autoSpaceDN w:val="0"/>
              <w:adjustRightInd w:val="0"/>
              <w:spacing w:after="60" w:line="240" w:lineRule="exact"/>
              <w:ind w:left="240"/>
              <w:jc w:val="right"/>
              <w:rPr>
                <w:rFonts w:cstheme="minorHAnsi"/>
              </w:rPr>
            </w:pPr>
            <w:r w:rsidRPr="00362112">
              <w:rPr>
                <w:rFonts w:cstheme="minorHAnsi"/>
                <w:color w:val="000000"/>
              </w:rPr>
              <w:t>101,334</w:t>
            </w:r>
          </w:p>
        </w:tc>
        <w:tc>
          <w:tcPr>
            <w:tcW w:w="2318" w:type="dxa"/>
            <w:tcBorders>
              <w:top w:val="single" w:sz="4" w:space="0" w:color="auto"/>
              <w:bottom w:val="double" w:sz="4" w:space="0" w:color="auto"/>
            </w:tcBorders>
          </w:tcPr>
          <w:p w:rsidR="00D2400B" w:rsidRPr="00362112" w:rsidRDefault="00D2400B" w:rsidP="00832B35">
            <w:pPr>
              <w:widowControl w:val="0"/>
              <w:autoSpaceDE w:val="0"/>
              <w:autoSpaceDN w:val="0"/>
              <w:adjustRightInd w:val="0"/>
              <w:spacing w:after="60" w:line="240" w:lineRule="exact"/>
              <w:ind w:left="240"/>
              <w:jc w:val="right"/>
              <w:rPr>
                <w:rFonts w:cstheme="minorHAnsi"/>
              </w:rPr>
            </w:pPr>
            <w:r w:rsidRPr="00362112">
              <w:rPr>
                <w:rFonts w:cstheme="minorHAnsi"/>
                <w:color w:val="000000"/>
              </w:rPr>
              <w:t>124,573</w:t>
            </w:r>
          </w:p>
        </w:tc>
      </w:tr>
    </w:tbl>
    <w:p w:rsidR="00D2400B" w:rsidRPr="00662339" w:rsidRDefault="00D2400B" w:rsidP="00A32AC0">
      <w:pPr>
        <w:widowControl w:val="0"/>
        <w:tabs>
          <w:tab w:val="right" w:pos="8461"/>
          <w:tab w:val="right" w:pos="10007"/>
        </w:tabs>
        <w:autoSpaceDE w:val="0"/>
        <w:autoSpaceDN w:val="0"/>
        <w:adjustRightInd w:val="0"/>
        <w:spacing w:before="38" w:after="0" w:line="240" w:lineRule="auto"/>
        <w:rPr>
          <w:rFonts w:ascii="Times New Roman" w:hAnsi="Times New Roman"/>
        </w:rPr>
      </w:pPr>
    </w:p>
    <w:p w:rsidR="00D2400B" w:rsidRPr="00362112" w:rsidRDefault="00D2400B" w:rsidP="00A32AC0">
      <w:pPr>
        <w:ind w:right="348"/>
        <w:rPr>
          <w:b/>
        </w:rPr>
      </w:pPr>
      <w:r w:rsidRPr="00362112">
        <w:rPr>
          <w:b/>
        </w:rPr>
        <w:t>Credit Risk – Trade and Other Receivables</w:t>
      </w:r>
    </w:p>
    <w:p w:rsidR="00D2400B" w:rsidRDefault="00D2400B" w:rsidP="00A32AC0">
      <w:pPr>
        <w:ind w:right="348"/>
      </w:pPr>
      <w:r w:rsidRPr="00662339">
        <w:t xml:space="preserve">The company does not have any material credit risk exposure to any single receivable or group of receivables as all receivables in the current year are in respect of balances due from the Australian Taxation Office (ATO) in respect of Goods and Services Tax and a refund of Imputation Credits. </w:t>
      </w:r>
    </w:p>
    <w:tbl>
      <w:tblPr>
        <w:tblStyle w:val="TableGrid"/>
        <w:tblW w:w="92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rade and other receivables"/>
      </w:tblPr>
      <w:tblGrid>
        <w:gridCol w:w="5326"/>
        <w:gridCol w:w="1588"/>
        <w:gridCol w:w="2318"/>
      </w:tblGrid>
      <w:tr w:rsidR="000F252A" w:rsidRPr="00362112" w:rsidTr="00134384">
        <w:trPr>
          <w:cnfStyle w:val="100000000000" w:firstRow="1" w:lastRow="0" w:firstColumn="0" w:lastColumn="0" w:oddVBand="0" w:evenVBand="0" w:oddHBand="0" w:evenHBand="0" w:firstRowFirstColumn="0" w:firstRowLastColumn="0" w:lastRowFirstColumn="0" w:lastRowLastColumn="0"/>
          <w:tblHeader/>
          <w:jc w:val="center"/>
        </w:trPr>
        <w:tc>
          <w:tcPr>
            <w:tcW w:w="5326" w:type="dxa"/>
          </w:tcPr>
          <w:p w:rsidR="000F252A" w:rsidRPr="00362112" w:rsidRDefault="000F252A" w:rsidP="000F252A">
            <w:pPr>
              <w:pStyle w:val="Heading2"/>
              <w:spacing w:before="0"/>
              <w:outlineLvl w:val="1"/>
              <w:rPr>
                <w:sz w:val="24"/>
                <w:szCs w:val="24"/>
              </w:rPr>
            </w:pPr>
            <w:r>
              <w:t>8.  Financial Assets</w:t>
            </w:r>
          </w:p>
        </w:tc>
        <w:tc>
          <w:tcPr>
            <w:tcW w:w="1588" w:type="dxa"/>
          </w:tcPr>
          <w:p w:rsidR="000F252A" w:rsidRPr="00362112" w:rsidRDefault="000F252A" w:rsidP="00134384">
            <w:pPr>
              <w:spacing w:after="60" w:line="240" w:lineRule="auto"/>
              <w:ind w:left="240"/>
              <w:jc w:val="right"/>
              <w:rPr>
                <w:rFonts w:cstheme="minorHAnsi"/>
              </w:rPr>
            </w:pPr>
            <w:r w:rsidRPr="00362112">
              <w:rPr>
                <w:rFonts w:cstheme="minorHAnsi"/>
                <w:color w:val="000000"/>
              </w:rPr>
              <w:t>2013</w:t>
            </w:r>
            <w:r w:rsidRPr="00362112">
              <w:rPr>
                <w:rFonts w:cstheme="minorHAnsi"/>
                <w:color w:val="000000"/>
              </w:rPr>
              <w:br/>
              <w:t>$</w:t>
            </w:r>
          </w:p>
        </w:tc>
        <w:tc>
          <w:tcPr>
            <w:tcW w:w="2318" w:type="dxa"/>
          </w:tcPr>
          <w:p w:rsidR="000F252A" w:rsidRPr="00362112" w:rsidRDefault="000F252A" w:rsidP="00134384">
            <w:pPr>
              <w:spacing w:after="60" w:line="240" w:lineRule="auto"/>
              <w:ind w:left="240"/>
              <w:jc w:val="right"/>
              <w:rPr>
                <w:rFonts w:cstheme="minorHAnsi"/>
              </w:rPr>
            </w:pPr>
            <w:r w:rsidRPr="00362112">
              <w:rPr>
                <w:rFonts w:cstheme="minorHAnsi"/>
                <w:color w:val="000000"/>
              </w:rPr>
              <w:t>2012</w:t>
            </w:r>
            <w:r w:rsidRPr="00362112">
              <w:rPr>
                <w:rFonts w:cstheme="minorHAnsi"/>
                <w:color w:val="000000"/>
              </w:rPr>
              <w:br/>
              <w:t>$</w:t>
            </w:r>
          </w:p>
        </w:tc>
      </w:tr>
      <w:tr w:rsidR="000F252A" w:rsidRPr="00362112" w:rsidTr="00134384">
        <w:trPr>
          <w:jc w:val="center"/>
        </w:trPr>
        <w:tc>
          <w:tcPr>
            <w:tcW w:w="5326" w:type="dxa"/>
          </w:tcPr>
          <w:p w:rsidR="000F252A" w:rsidRPr="007E4389" w:rsidRDefault="000F252A" w:rsidP="00134384">
            <w:pPr>
              <w:widowControl w:val="0"/>
              <w:autoSpaceDE w:val="0"/>
              <w:autoSpaceDN w:val="0"/>
              <w:adjustRightInd w:val="0"/>
              <w:spacing w:before="100" w:beforeAutospacing="1" w:after="60"/>
              <w:ind w:left="776" w:hanging="776"/>
              <w:rPr>
                <w:rFonts w:cstheme="minorHAnsi"/>
                <w:b/>
                <w:color w:val="000000"/>
              </w:rPr>
            </w:pPr>
            <w:r>
              <w:rPr>
                <w:rFonts w:cstheme="minorHAnsi"/>
                <w:b/>
                <w:color w:val="000000"/>
              </w:rPr>
              <w:t>Current</w:t>
            </w:r>
          </w:p>
        </w:tc>
        <w:tc>
          <w:tcPr>
            <w:tcW w:w="1588" w:type="dxa"/>
          </w:tcPr>
          <w:p w:rsidR="000F252A" w:rsidRPr="00362112" w:rsidRDefault="000F252A" w:rsidP="00134384">
            <w:pPr>
              <w:widowControl w:val="0"/>
              <w:autoSpaceDE w:val="0"/>
              <w:autoSpaceDN w:val="0"/>
              <w:adjustRightInd w:val="0"/>
              <w:spacing w:before="100" w:beforeAutospacing="1" w:after="60"/>
              <w:ind w:left="240"/>
              <w:jc w:val="right"/>
              <w:rPr>
                <w:rFonts w:cstheme="minorHAnsi"/>
                <w:color w:val="000000"/>
              </w:rPr>
            </w:pPr>
          </w:p>
        </w:tc>
        <w:tc>
          <w:tcPr>
            <w:tcW w:w="2318" w:type="dxa"/>
          </w:tcPr>
          <w:p w:rsidR="000F252A" w:rsidRPr="00362112" w:rsidRDefault="000F252A" w:rsidP="00134384">
            <w:pPr>
              <w:widowControl w:val="0"/>
              <w:autoSpaceDE w:val="0"/>
              <w:autoSpaceDN w:val="0"/>
              <w:adjustRightInd w:val="0"/>
              <w:spacing w:before="100" w:beforeAutospacing="1" w:after="60"/>
              <w:ind w:left="240"/>
              <w:jc w:val="right"/>
              <w:rPr>
                <w:rFonts w:cstheme="minorHAnsi"/>
                <w:color w:val="000000"/>
              </w:rPr>
            </w:pPr>
          </w:p>
        </w:tc>
      </w:tr>
      <w:tr w:rsidR="000F252A" w:rsidRPr="00362112" w:rsidTr="00134384">
        <w:trPr>
          <w:jc w:val="center"/>
        </w:trPr>
        <w:tc>
          <w:tcPr>
            <w:tcW w:w="5326" w:type="dxa"/>
          </w:tcPr>
          <w:p w:rsidR="000F252A" w:rsidRPr="00362112" w:rsidRDefault="000F252A" w:rsidP="000F252A">
            <w:pPr>
              <w:widowControl w:val="0"/>
              <w:autoSpaceDE w:val="0"/>
              <w:autoSpaceDN w:val="0"/>
              <w:adjustRightInd w:val="0"/>
              <w:spacing w:before="100" w:beforeAutospacing="1" w:after="60"/>
              <w:ind w:left="776" w:hanging="776"/>
              <w:rPr>
                <w:rFonts w:cstheme="minorHAnsi"/>
              </w:rPr>
            </w:pPr>
            <w:r>
              <w:rPr>
                <w:rFonts w:cstheme="minorHAnsi"/>
                <w:color w:val="000000"/>
              </w:rPr>
              <w:t>Financial assets at fair value through profit or loss</w:t>
            </w:r>
          </w:p>
        </w:tc>
        <w:tc>
          <w:tcPr>
            <w:tcW w:w="1588" w:type="dxa"/>
            <w:tcBorders>
              <w:bottom w:val="single" w:sz="4" w:space="0" w:color="auto"/>
            </w:tcBorders>
          </w:tcPr>
          <w:p w:rsidR="000F252A" w:rsidRPr="00362112" w:rsidRDefault="000F252A" w:rsidP="00134384">
            <w:pPr>
              <w:widowControl w:val="0"/>
              <w:autoSpaceDE w:val="0"/>
              <w:autoSpaceDN w:val="0"/>
              <w:adjustRightInd w:val="0"/>
              <w:spacing w:before="100" w:beforeAutospacing="1" w:after="60"/>
              <w:ind w:left="240"/>
              <w:jc w:val="right"/>
              <w:rPr>
                <w:rFonts w:cstheme="minorHAnsi"/>
              </w:rPr>
            </w:pPr>
            <w:r>
              <w:rPr>
                <w:rFonts w:cstheme="minorHAnsi"/>
                <w:color w:val="000000"/>
              </w:rPr>
              <w:t>6,175,522</w:t>
            </w:r>
          </w:p>
        </w:tc>
        <w:tc>
          <w:tcPr>
            <w:tcW w:w="2318" w:type="dxa"/>
            <w:tcBorders>
              <w:bottom w:val="single" w:sz="4" w:space="0" w:color="auto"/>
            </w:tcBorders>
          </w:tcPr>
          <w:p w:rsidR="000F252A" w:rsidRPr="00362112" w:rsidRDefault="000F252A" w:rsidP="00134384">
            <w:pPr>
              <w:widowControl w:val="0"/>
              <w:autoSpaceDE w:val="0"/>
              <w:autoSpaceDN w:val="0"/>
              <w:adjustRightInd w:val="0"/>
              <w:spacing w:before="100" w:beforeAutospacing="1" w:after="60"/>
              <w:ind w:left="240"/>
              <w:jc w:val="right"/>
              <w:rPr>
                <w:rFonts w:cstheme="minorHAnsi"/>
              </w:rPr>
            </w:pPr>
            <w:r>
              <w:rPr>
                <w:rFonts w:cstheme="minorHAnsi"/>
                <w:color w:val="000000"/>
              </w:rPr>
              <w:t>5,757,873</w:t>
            </w:r>
          </w:p>
        </w:tc>
      </w:tr>
      <w:tr w:rsidR="000F252A" w:rsidRPr="00362112" w:rsidTr="00134384">
        <w:trPr>
          <w:jc w:val="center"/>
        </w:trPr>
        <w:tc>
          <w:tcPr>
            <w:tcW w:w="5326" w:type="dxa"/>
          </w:tcPr>
          <w:p w:rsidR="000F252A" w:rsidRPr="00362112" w:rsidRDefault="000F252A" w:rsidP="000F252A">
            <w:pPr>
              <w:widowControl w:val="0"/>
              <w:autoSpaceDE w:val="0"/>
              <w:autoSpaceDN w:val="0"/>
              <w:adjustRightInd w:val="0"/>
              <w:spacing w:before="100" w:beforeAutospacing="1" w:after="60" w:line="240" w:lineRule="exact"/>
              <w:rPr>
                <w:rFonts w:cstheme="minorHAnsi"/>
              </w:rPr>
            </w:pPr>
            <w:r w:rsidRPr="00362112">
              <w:rPr>
                <w:rFonts w:cstheme="minorHAnsi"/>
                <w:b/>
                <w:bCs/>
                <w:color w:val="000000"/>
              </w:rPr>
              <w:t xml:space="preserve">Total </w:t>
            </w:r>
            <w:r>
              <w:rPr>
                <w:rFonts w:cstheme="minorHAnsi"/>
                <w:b/>
                <w:bCs/>
                <w:color w:val="000000"/>
              </w:rPr>
              <w:t>Financial Assets</w:t>
            </w:r>
          </w:p>
        </w:tc>
        <w:tc>
          <w:tcPr>
            <w:tcW w:w="1588" w:type="dxa"/>
            <w:tcBorders>
              <w:top w:val="single" w:sz="4" w:space="0" w:color="auto"/>
              <w:bottom w:val="double" w:sz="4" w:space="0" w:color="auto"/>
            </w:tcBorders>
          </w:tcPr>
          <w:p w:rsidR="000F252A" w:rsidRPr="00362112" w:rsidRDefault="000F252A" w:rsidP="000F252A">
            <w:pPr>
              <w:widowControl w:val="0"/>
              <w:autoSpaceDE w:val="0"/>
              <w:autoSpaceDN w:val="0"/>
              <w:adjustRightInd w:val="0"/>
              <w:spacing w:after="60" w:line="240" w:lineRule="exact"/>
              <w:ind w:left="240"/>
              <w:jc w:val="right"/>
              <w:rPr>
                <w:rFonts w:cstheme="minorHAnsi"/>
              </w:rPr>
            </w:pPr>
            <w:r>
              <w:rPr>
                <w:rFonts w:cstheme="minorHAnsi"/>
                <w:color w:val="000000"/>
              </w:rPr>
              <w:t>6,175,522</w:t>
            </w:r>
          </w:p>
        </w:tc>
        <w:tc>
          <w:tcPr>
            <w:tcW w:w="2318" w:type="dxa"/>
            <w:tcBorders>
              <w:top w:val="single" w:sz="4" w:space="0" w:color="auto"/>
              <w:bottom w:val="double" w:sz="4" w:space="0" w:color="auto"/>
            </w:tcBorders>
          </w:tcPr>
          <w:p w:rsidR="000F252A" w:rsidRPr="00362112" w:rsidRDefault="000F252A" w:rsidP="00134384">
            <w:pPr>
              <w:widowControl w:val="0"/>
              <w:autoSpaceDE w:val="0"/>
              <w:autoSpaceDN w:val="0"/>
              <w:adjustRightInd w:val="0"/>
              <w:spacing w:after="60" w:line="240" w:lineRule="exact"/>
              <w:ind w:left="240"/>
              <w:jc w:val="right"/>
              <w:rPr>
                <w:rFonts w:cstheme="minorHAnsi"/>
              </w:rPr>
            </w:pPr>
            <w:r>
              <w:rPr>
                <w:rFonts w:cstheme="minorHAnsi"/>
                <w:color w:val="000000"/>
              </w:rPr>
              <w:t>5,757,873</w:t>
            </w:r>
          </w:p>
        </w:tc>
      </w:tr>
    </w:tbl>
    <w:p w:rsidR="00CF248E" w:rsidRDefault="00CF248E" w:rsidP="00D668F9">
      <w:pPr>
        <w:spacing w:before="360"/>
      </w:pPr>
      <w:r>
        <w:t>The fair value of listed available-for-sale investments has been determined directly by reference to published price quotations in an active market.</w:t>
      </w:r>
    </w:p>
    <w:p w:rsidR="00D2400B" w:rsidRDefault="00D2400B" w:rsidP="00A32AC0">
      <w:pPr>
        <w:spacing w:before="120"/>
      </w:pPr>
      <w:r w:rsidRPr="00662339">
        <w:t>Had the company’s financial assets been measured on a historical cost basis, their carrying amount would have been as follows:</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urrent total financial assets"/>
      </w:tblPr>
      <w:tblGrid>
        <w:gridCol w:w="5353"/>
        <w:gridCol w:w="1675"/>
        <w:gridCol w:w="2152"/>
      </w:tblGrid>
      <w:tr w:rsidR="003A7164" w:rsidTr="000F252A">
        <w:trPr>
          <w:cnfStyle w:val="100000000000" w:firstRow="1" w:lastRow="0" w:firstColumn="0" w:lastColumn="0" w:oddVBand="0" w:evenVBand="0" w:oddHBand="0" w:evenHBand="0" w:firstRowFirstColumn="0" w:firstRowLastColumn="0" w:lastRowFirstColumn="0" w:lastRowLastColumn="0"/>
          <w:tblHeader/>
        </w:trPr>
        <w:tc>
          <w:tcPr>
            <w:tcW w:w="5353" w:type="dxa"/>
          </w:tcPr>
          <w:p w:rsidR="003A7164" w:rsidRPr="00781726" w:rsidRDefault="001132C8" w:rsidP="003A7164">
            <w:pPr>
              <w:spacing w:after="60"/>
              <w:rPr>
                <w:rFonts w:cstheme="minorHAnsi"/>
                <w:sz w:val="24"/>
                <w:szCs w:val="24"/>
              </w:rPr>
            </w:pPr>
            <w:r>
              <w:rPr>
                <w:rFonts w:cstheme="minorHAnsi"/>
              </w:rPr>
              <w:br/>
            </w:r>
            <w:r w:rsidR="003A7164" w:rsidRPr="00D1145B">
              <w:rPr>
                <w:rFonts w:cstheme="minorHAnsi"/>
              </w:rPr>
              <w:t>Current</w:t>
            </w:r>
          </w:p>
        </w:tc>
        <w:tc>
          <w:tcPr>
            <w:tcW w:w="1675" w:type="dxa"/>
          </w:tcPr>
          <w:p w:rsidR="003A7164" w:rsidRPr="00362112" w:rsidRDefault="003A7164" w:rsidP="00DB3DFE">
            <w:pPr>
              <w:spacing w:after="60" w:line="240" w:lineRule="auto"/>
              <w:ind w:right="149"/>
              <w:jc w:val="right"/>
              <w:rPr>
                <w:rFonts w:cstheme="minorHAnsi"/>
              </w:rPr>
            </w:pPr>
            <w:r w:rsidRPr="00362112">
              <w:rPr>
                <w:rFonts w:cstheme="minorHAnsi"/>
                <w:color w:val="000000"/>
              </w:rPr>
              <w:t>2013</w:t>
            </w:r>
            <w:r w:rsidRPr="00362112">
              <w:rPr>
                <w:rFonts w:cstheme="minorHAnsi"/>
                <w:color w:val="000000"/>
              </w:rPr>
              <w:br/>
              <w:t>$</w:t>
            </w:r>
          </w:p>
        </w:tc>
        <w:tc>
          <w:tcPr>
            <w:tcW w:w="2152" w:type="dxa"/>
          </w:tcPr>
          <w:p w:rsidR="003A7164" w:rsidRPr="00362112" w:rsidRDefault="003A7164" w:rsidP="003206AB">
            <w:pPr>
              <w:spacing w:after="60" w:line="240" w:lineRule="auto"/>
              <w:jc w:val="right"/>
              <w:rPr>
                <w:rFonts w:cstheme="minorHAnsi"/>
              </w:rPr>
            </w:pPr>
            <w:r w:rsidRPr="00362112">
              <w:rPr>
                <w:rFonts w:cstheme="minorHAnsi"/>
                <w:color w:val="000000"/>
              </w:rPr>
              <w:t>2012</w:t>
            </w:r>
            <w:r w:rsidRPr="00362112">
              <w:rPr>
                <w:rFonts w:cstheme="minorHAnsi"/>
                <w:color w:val="000000"/>
              </w:rPr>
              <w:br/>
              <w:t>$</w:t>
            </w:r>
          </w:p>
        </w:tc>
      </w:tr>
      <w:tr w:rsidR="003A7164" w:rsidTr="000F252A">
        <w:tc>
          <w:tcPr>
            <w:tcW w:w="5353" w:type="dxa"/>
          </w:tcPr>
          <w:p w:rsidR="003A7164" w:rsidRPr="00892CF1" w:rsidRDefault="003A7164" w:rsidP="003A7164">
            <w:pPr>
              <w:spacing w:after="60"/>
              <w:rPr>
                <w:sz w:val="24"/>
                <w:szCs w:val="24"/>
              </w:rPr>
            </w:pPr>
            <w:r>
              <w:t xml:space="preserve">Financial </w:t>
            </w:r>
            <w:r w:rsidRPr="00892CF1">
              <w:t xml:space="preserve">assets at </w:t>
            </w:r>
            <w:r>
              <w:t>cost</w:t>
            </w:r>
            <w:r w:rsidRPr="00892CF1">
              <w:t xml:space="preserve"> value through profit or loss</w:t>
            </w:r>
          </w:p>
        </w:tc>
        <w:tc>
          <w:tcPr>
            <w:tcW w:w="1675" w:type="dxa"/>
            <w:tcBorders>
              <w:bottom w:val="single" w:sz="4" w:space="0" w:color="auto"/>
            </w:tcBorders>
          </w:tcPr>
          <w:p w:rsidR="003A7164" w:rsidRPr="00892CF1" w:rsidRDefault="003A7164" w:rsidP="00DB3DFE">
            <w:pPr>
              <w:spacing w:after="60"/>
              <w:ind w:right="149"/>
              <w:jc w:val="right"/>
              <w:rPr>
                <w:sz w:val="24"/>
                <w:szCs w:val="24"/>
              </w:rPr>
            </w:pPr>
            <w:r>
              <w:t>5,066,401</w:t>
            </w:r>
          </w:p>
        </w:tc>
        <w:tc>
          <w:tcPr>
            <w:tcW w:w="2152" w:type="dxa"/>
            <w:tcBorders>
              <w:bottom w:val="single" w:sz="4" w:space="0" w:color="auto"/>
            </w:tcBorders>
          </w:tcPr>
          <w:p w:rsidR="003A7164" w:rsidRPr="00892CF1" w:rsidRDefault="003A7164" w:rsidP="003206AB">
            <w:pPr>
              <w:spacing w:after="60"/>
              <w:jc w:val="right"/>
              <w:rPr>
                <w:sz w:val="24"/>
                <w:szCs w:val="24"/>
              </w:rPr>
            </w:pPr>
            <w:r>
              <w:t>5,479,012</w:t>
            </w:r>
          </w:p>
        </w:tc>
      </w:tr>
      <w:tr w:rsidR="003A7164" w:rsidTr="000F252A">
        <w:tc>
          <w:tcPr>
            <w:tcW w:w="5353" w:type="dxa"/>
          </w:tcPr>
          <w:p w:rsidR="003A7164" w:rsidRPr="00892CF1" w:rsidRDefault="003A7164" w:rsidP="003A7164">
            <w:pPr>
              <w:spacing w:after="60"/>
              <w:rPr>
                <w:sz w:val="24"/>
                <w:szCs w:val="24"/>
              </w:rPr>
            </w:pPr>
            <w:r w:rsidRPr="00892CF1">
              <w:rPr>
                <w:b/>
                <w:bCs/>
              </w:rPr>
              <w:t>Total Financial Assets</w:t>
            </w:r>
          </w:p>
        </w:tc>
        <w:tc>
          <w:tcPr>
            <w:tcW w:w="1675" w:type="dxa"/>
            <w:tcBorders>
              <w:top w:val="single" w:sz="4" w:space="0" w:color="auto"/>
              <w:bottom w:val="double" w:sz="4" w:space="0" w:color="auto"/>
            </w:tcBorders>
          </w:tcPr>
          <w:p w:rsidR="003A7164" w:rsidRPr="00892CF1" w:rsidRDefault="003A7164" w:rsidP="00DB3DFE">
            <w:pPr>
              <w:spacing w:after="60"/>
              <w:ind w:right="149"/>
              <w:jc w:val="right"/>
              <w:rPr>
                <w:sz w:val="24"/>
                <w:szCs w:val="24"/>
              </w:rPr>
            </w:pPr>
            <w:r>
              <w:t>5,066,401</w:t>
            </w:r>
          </w:p>
        </w:tc>
        <w:tc>
          <w:tcPr>
            <w:tcW w:w="2152" w:type="dxa"/>
            <w:tcBorders>
              <w:top w:val="single" w:sz="4" w:space="0" w:color="auto"/>
              <w:bottom w:val="double" w:sz="4" w:space="0" w:color="auto"/>
            </w:tcBorders>
          </w:tcPr>
          <w:p w:rsidR="003A7164" w:rsidRPr="00892CF1" w:rsidRDefault="003A7164" w:rsidP="003206AB">
            <w:pPr>
              <w:spacing w:after="60"/>
              <w:jc w:val="right"/>
              <w:rPr>
                <w:sz w:val="24"/>
                <w:szCs w:val="24"/>
              </w:rPr>
            </w:pPr>
            <w:r>
              <w:t>5,479,012</w:t>
            </w:r>
          </w:p>
        </w:tc>
      </w:tr>
    </w:tbl>
    <w:p w:rsidR="00D2400B" w:rsidRPr="003A7164" w:rsidRDefault="00781726" w:rsidP="00CB5652">
      <w:pPr>
        <w:pStyle w:val="ListParagraph"/>
        <w:numPr>
          <w:ilvl w:val="2"/>
          <w:numId w:val="36"/>
        </w:numPr>
        <w:spacing w:before="360"/>
        <w:rPr>
          <w:b/>
          <w:i/>
        </w:rPr>
      </w:pPr>
      <w:r w:rsidRPr="003A7164">
        <w:rPr>
          <w:b/>
          <w:i/>
        </w:rPr>
        <w:t>Hel</w:t>
      </w:r>
      <w:r w:rsidR="00D2400B" w:rsidRPr="003A7164">
        <w:rPr>
          <w:b/>
          <w:i/>
        </w:rPr>
        <w:t>d-for-trading investments</w:t>
      </w:r>
    </w:p>
    <w:p w:rsidR="00D2400B" w:rsidRDefault="00D2400B" w:rsidP="006D2D33">
      <w:pPr>
        <w:spacing w:after="240"/>
      </w:pPr>
      <w:r w:rsidRPr="00662339">
        <w:t>Securities in listed corporations, unit trusts and other publicly available investments funds held for trading purpose to generate income through the receipts of dividends and capital gains.</w:t>
      </w:r>
    </w:p>
    <w:p w:rsidR="006D2D33" w:rsidRDefault="006D2D33" w:rsidP="001132C8">
      <w:pPr>
        <w:widowControl w:val="0"/>
        <w:autoSpaceDE w:val="0"/>
        <w:autoSpaceDN w:val="0"/>
        <w:adjustRightInd w:val="0"/>
        <w:spacing w:before="1680" w:after="0" w:line="240" w:lineRule="auto"/>
        <w:ind w:left="1728" w:right="1176"/>
        <w:jc w:val="center"/>
        <w:rPr>
          <w:rFonts w:cstheme="minorHAnsi"/>
          <w:color w:val="000000"/>
        </w:rPr>
      </w:pPr>
      <w:r w:rsidRPr="00105329">
        <w:rPr>
          <w:rFonts w:cstheme="minorHAnsi"/>
          <w:i/>
          <w:iCs/>
          <w:color w:val="000000"/>
          <w:szCs w:val="16"/>
        </w:rPr>
        <w:t>These notes form part of the financial statements</w:t>
      </w:r>
      <w:r>
        <w:rPr>
          <w:rFonts w:cstheme="minorHAnsi"/>
          <w:color w:val="000000"/>
        </w:rPr>
        <w:br w:type="page"/>
      </w:r>
    </w:p>
    <w:p w:rsidR="006D2D33" w:rsidRPr="00E171F7" w:rsidRDefault="006D2D33" w:rsidP="006D2D33">
      <w:pPr>
        <w:rPr>
          <w:sz w:val="48"/>
        </w:rPr>
      </w:pPr>
      <w:r w:rsidRPr="00E171F7">
        <w:rPr>
          <w:sz w:val="48"/>
        </w:rPr>
        <w:lastRenderedPageBreak/>
        <w:t>Notes to the Financial Statements</w:t>
      </w:r>
    </w:p>
    <w:p w:rsidR="006D2D33" w:rsidRPr="006D2D33" w:rsidRDefault="006D2D33" w:rsidP="006D2D33">
      <w:pPr>
        <w:rPr>
          <w:b/>
          <w:sz w:val="24"/>
          <w:szCs w:val="24"/>
        </w:rPr>
      </w:pPr>
      <w:r w:rsidRPr="00E171F7">
        <w:rPr>
          <w:b/>
        </w:rPr>
        <w:t>For the Year ended 30 June 2013</w:t>
      </w:r>
    </w:p>
    <w:tbl>
      <w:tblPr>
        <w:tblStyle w:val="TableGrid"/>
        <w:tblpPr w:leftFromText="180" w:rightFromText="180" w:vertAnchor="text" w:horzAnchor="margin" w:tblpXSpec="center" w:tblpY="328"/>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property, plant &amp; equipment"/>
      </w:tblPr>
      <w:tblGrid>
        <w:gridCol w:w="5950"/>
        <w:gridCol w:w="1670"/>
        <w:gridCol w:w="1565"/>
      </w:tblGrid>
      <w:tr w:rsidR="00A32AC0" w:rsidTr="00515B5E">
        <w:trPr>
          <w:cnfStyle w:val="100000000000" w:firstRow="1" w:lastRow="0" w:firstColumn="0" w:lastColumn="0" w:oddVBand="0" w:evenVBand="0" w:oddHBand="0" w:evenHBand="0" w:firstRowFirstColumn="0" w:firstRowLastColumn="0" w:lastRowFirstColumn="0" w:lastRowLastColumn="0"/>
          <w:tblHeader/>
        </w:trPr>
        <w:tc>
          <w:tcPr>
            <w:tcW w:w="5950" w:type="dxa"/>
            <w:shd w:val="clear" w:color="auto" w:fill="auto"/>
          </w:tcPr>
          <w:p w:rsidR="00A32AC0" w:rsidRPr="003A7164" w:rsidRDefault="00A32AC0" w:rsidP="006D2D33">
            <w:pPr>
              <w:pStyle w:val="Heading2"/>
              <w:spacing w:before="0"/>
              <w:outlineLvl w:val="1"/>
            </w:pPr>
            <w:r>
              <w:t xml:space="preserve">9.  </w:t>
            </w:r>
            <w:r w:rsidRPr="003A7164">
              <w:t>Property, Plant &amp; Equipment</w:t>
            </w:r>
          </w:p>
        </w:tc>
        <w:tc>
          <w:tcPr>
            <w:tcW w:w="1670" w:type="dxa"/>
            <w:shd w:val="clear" w:color="auto" w:fill="auto"/>
          </w:tcPr>
          <w:p w:rsidR="00A32AC0" w:rsidRPr="00362112" w:rsidRDefault="00A32AC0" w:rsidP="00515B5E">
            <w:pPr>
              <w:spacing w:afterLines="60" w:after="144" w:line="240" w:lineRule="auto"/>
              <w:jc w:val="right"/>
              <w:rPr>
                <w:rFonts w:cstheme="minorHAnsi"/>
              </w:rPr>
            </w:pPr>
            <w:r w:rsidRPr="00362112">
              <w:rPr>
                <w:rFonts w:cstheme="minorHAnsi"/>
                <w:color w:val="000000"/>
              </w:rPr>
              <w:t>2013</w:t>
            </w:r>
            <w:r w:rsidRPr="00362112">
              <w:rPr>
                <w:rFonts w:cstheme="minorHAnsi"/>
                <w:color w:val="000000"/>
              </w:rPr>
              <w:br/>
              <w:t>$</w:t>
            </w:r>
          </w:p>
        </w:tc>
        <w:tc>
          <w:tcPr>
            <w:tcW w:w="1565" w:type="dxa"/>
            <w:shd w:val="clear" w:color="auto" w:fill="auto"/>
          </w:tcPr>
          <w:p w:rsidR="00A32AC0" w:rsidRPr="00362112" w:rsidRDefault="00A32AC0" w:rsidP="00515B5E">
            <w:pPr>
              <w:spacing w:afterLines="60" w:after="144" w:line="240" w:lineRule="auto"/>
              <w:jc w:val="right"/>
              <w:rPr>
                <w:rFonts w:cstheme="minorHAnsi"/>
              </w:rPr>
            </w:pPr>
            <w:r w:rsidRPr="00362112">
              <w:rPr>
                <w:rFonts w:cstheme="minorHAnsi"/>
                <w:color w:val="000000"/>
              </w:rPr>
              <w:t>2012</w:t>
            </w:r>
            <w:r w:rsidRPr="00362112">
              <w:rPr>
                <w:rFonts w:cstheme="minorHAnsi"/>
                <w:color w:val="000000"/>
              </w:rPr>
              <w:br/>
              <w:t>$</w:t>
            </w:r>
          </w:p>
        </w:tc>
      </w:tr>
      <w:tr w:rsidR="00A32AC0" w:rsidRPr="00733129" w:rsidTr="00515B5E">
        <w:tc>
          <w:tcPr>
            <w:tcW w:w="5950" w:type="dxa"/>
            <w:shd w:val="clear" w:color="auto" w:fill="auto"/>
          </w:tcPr>
          <w:p w:rsidR="00A32AC0" w:rsidRPr="003A7164" w:rsidRDefault="00A32AC0" w:rsidP="00515B5E">
            <w:pPr>
              <w:spacing w:afterLines="60" w:after="144" w:line="240" w:lineRule="auto"/>
            </w:pPr>
            <w:r w:rsidRPr="003A7164">
              <w:t>Motor Vehicles</w:t>
            </w:r>
          </w:p>
        </w:tc>
        <w:tc>
          <w:tcPr>
            <w:tcW w:w="1670" w:type="dxa"/>
            <w:shd w:val="clear" w:color="auto" w:fill="auto"/>
          </w:tcPr>
          <w:p w:rsidR="00A32AC0" w:rsidRPr="00F40F04" w:rsidRDefault="00A32AC0" w:rsidP="00515B5E">
            <w:pPr>
              <w:spacing w:afterLines="60" w:after="144" w:line="240" w:lineRule="auto"/>
              <w:jc w:val="right"/>
            </w:pPr>
            <w:r w:rsidRPr="00F40F04">
              <w:t>32,569</w:t>
            </w:r>
          </w:p>
        </w:tc>
        <w:tc>
          <w:tcPr>
            <w:tcW w:w="1565" w:type="dxa"/>
            <w:shd w:val="clear" w:color="auto" w:fill="auto"/>
          </w:tcPr>
          <w:p w:rsidR="00A32AC0" w:rsidRPr="00F40F04" w:rsidRDefault="00A32AC0" w:rsidP="00515B5E">
            <w:pPr>
              <w:spacing w:afterLines="60" w:after="144" w:line="240" w:lineRule="auto"/>
              <w:jc w:val="right"/>
            </w:pPr>
            <w:r w:rsidRPr="00F40F04">
              <w:t>32,569</w:t>
            </w:r>
          </w:p>
        </w:tc>
      </w:tr>
      <w:tr w:rsidR="00A32AC0" w:rsidRPr="00733129" w:rsidTr="00515B5E">
        <w:tc>
          <w:tcPr>
            <w:tcW w:w="5950" w:type="dxa"/>
            <w:shd w:val="clear" w:color="auto" w:fill="auto"/>
          </w:tcPr>
          <w:p w:rsidR="00A32AC0" w:rsidRPr="003A7164" w:rsidRDefault="00A32AC0" w:rsidP="00515B5E">
            <w:pPr>
              <w:spacing w:afterLines="60" w:after="144" w:line="240" w:lineRule="auto"/>
            </w:pPr>
            <w:r w:rsidRPr="003A7164">
              <w:t>Less Accumulated Depreciation &amp; Impairment</w:t>
            </w:r>
          </w:p>
        </w:tc>
        <w:tc>
          <w:tcPr>
            <w:tcW w:w="1670" w:type="dxa"/>
            <w:tcBorders>
              <w:bottom w:val="single" w:sz="4" w:space="0" w:color="auto"/>
            </w:tcBorders>
            <w:shd w:val="clear" w:color="auto" w:fill="auto"/>
          </w:tcPr>
          <w:p w:rsidR="00A32AC0" w:rsidRPr="00F40F04" w:rsidRDefault="00A32AC0" w:rsidP="00515B5E">
            <w:pPr>
              <w:spacing w:afterLines="60" w:after="144" w:line="240" w:lineRule="auto"/>
              <w:jc w:val="right"/>
            </w:pPr>
            <w:r>
              <w:t>(25,773)</w:t>
            </w:r>
          </w:p>
        </w:tc>
        <w:tc>
          <w:tcPr>
            <w:tcW w:w="1565" w:type="dxa"/>
            <w:tcBorders>
              <w:bottom w:val="single" w:sz="4" w:space="0" w:color="auto"/>
            </w:tcBorders>
            <w:shd w:val="clear" w:color="auto" w:fill="auto"/>
          </w:tcPr>
          <w:p w:rsidR="00A32AC0" w:rsidRPr="00F40F04" w:rsidRDefault="00A32AC0" w:rsidP="00515B5E">
            <w:pPr>
              <w:spacing w:afterLines="60" w:after="144" w:line="240" w:lineRule="auto"/>
              <w:jc w:val="right"/>
            </w:pPr>
            <w:r>
              <w:t>(</w:t>
            </w:r>
            <w:r w:rsidRPr="00F40F04">
              <w:t>20,344</w:t>
            </w:r>
            <w:r>
              <w:t>)</w:t>
            </w:r>
          </w:p>
        </w:tc>
      </w:tr>
      <w:tr w:rsidR="00A32AC0" w:rsidRPr="00733129" w:rsidTr="00515B5E">
        <w:trPr>
          <w:trHeight w:val="75"/>
        </w:trPr>
        <w:tc>
          <w:tcPr>
            <w:tcW w:w="5950" w:type="dxa"/>
            <w:shd w:val="clear" w:color="auto" w:fill="auto"/>
          </w:tcPr>
          <w:p w:rsidR="00A32AC0" w:rsidRPr="003A7164" w:rsidRDefault="00A32AC0" w:rsidP="00515B5E">
            <w:pPr>
              <w:spacing w:afterLines="60" w:after="144" w:line="240" w:lineRule="auto"/>
            </w:pPr>
          </w:p>
        </w:tc>
        <w:tc>
          <w:tcPr>
            <w:tcW w:w="1670" w:type="dxa"/>
            <w:tcBorders>
              <w:top w:val="single" w:sz="4" w:space="0" w:color="auto"/>
            </w:tcBorders>
            <w:shd w:val="clear" w:color="auto" w:fill="auto"/>
          </w:tcPr>
          <w:p w:rsidR="00A32AC0" w:rsidRPr="00F40F04" w:rsidRDefault="00A32AC0" w:rsidP="00515B5E">
            <w:pPr>
              <w:spacing w:afterLines="60" w:after="144" w:line="240" w:lineRule="auto"/>
              <w:jc w:val="right"/>
            </w:pPr>
            <w:r>
              <w:t>6,796</w:t>
            </w:r>
          </w:p>
        </w:tc>
        <w:tc>
          <w:tcPr>
            <w:tcW w:w="1565" w:type="dxa"/>
            <w:tcBorders>
              <w:top w:val="single" w:sz="4" w:space="0" w:color="auto"/>
            </w:tcBorders>
            <w:shd w:val="clear" w:color="auto" w:fill="auto"/>
          </w:tcPr>
          <w:p w:rsidR="00A32AC0" w:rsidRPr="00F40F04" w:rsidRDefault="00A32AC0" w:rsidP="00515B5E">
            <w:pPr>
              <w:spacing w:afterLines="60" w:after="144" w:line="240" w:lineRule="auto"/>
              <w:jc w:val="right"/>
            </w:pPr>
            <w:r w:rsidRPr="00F40F04">
              <w:t>12,225</w:t>
            </w:r>
          </w:p>
        </w:tc>
      </w:tr>
      <w:tr w:rsidR="00A32AC0" w:rsidRPr="007A1B78" w:rsidTr="00515B5E">
        <w:tc>
          <w:tcPr>
            <w:tcW w:w="5950" w:type="dxa"/>
            <w:shd w:val="clear" w:color="auto" w:fill="auto"/>
          </w:tcPr>
          <w:p w:rsidR="00A32AC0" w:rsidRPr="007A1B78" w:rsidRDefault="00A32AC0" w:rsidP="00515B5E">
            <w:pPr>
              <w:spacing w:afterLines="60" w:after="144" w:line="240" w:lineRule="auto"/>
              <w:rPr>
                <w:rFonts w:cstheme="minorHAnsi"/>
                <w:sz w:val="24"/>
                <w:szCs w:val="24"/>
              </w:rPr>
            </w:pPr>
            <w:r w:rsidRPr="007A1B78">
              <w:rPr>
                <w:rFonts w:cstheme="minorHAnsi"/>
                <w:color w:val="000000"/>
              </w:rPr>
              <w:t>Office Furniture &amp; Equipment</w:t>
            </w:r>
          </w:p>
        </w:tc>
        <w:tc>
          <w:tcPr>
            <w:tcW w:w="1670" w:type="dxa"/>
            <w:shd w:val="clear" w:color="auto" w:fill="auto"/>
          </w:tcPr>
          <w:p w:rsidR="00A32AC0" w:rsidRPr="007A1B78" w:rsidRDefault="00A32AC0" w:rsidP="00515B5E">
            <w:pPr>
              <w:spacing w:afterLines="60" w:after="144" w:line="240" w:lineRule="auto"/>
              <w:jc w:val="right"/>
              <w:rPr>
                <w:rFonts w:cstheme="minorHAnsi"/>
                <w:sz w:val="24"/>
                <w:szCs w:val="24"/>
              </w:rPr>
            </w:pPr>
            <w:r w:rsidRPr="007A1B78">
              <w:rPr>
                <w:rFonts w:cstheme="minorHAnsi"/>
                <w:color w:val="000000"/>
              </w:rPr>
              <w:t>139,324</w:t>
            </w:r>
          </w:p>
        </w:tc>
        <w:tc>
          <w:tcPr>
            <w:tcW w:w="1565" w:type="dxa"/>
            <w:shd w:val="clear" w:color="auto" w:fill="auto"/>
          </w:tcPr>
          <w:p w:rsidR="00A32AC0" w:rsidRPr="007A1B78" w:rsidRDefault="00A32AC0" w:rsidP="00515B5E">
            <w:pPr>
              <w:spacing w:afterLines="60" w:after="144" w:line="240" w:lineRule="auto"/>
              <w:jc w:val="right"/>
              <w:rPr>
                <w:rFonts w:cstheme="minorHAnsi"/>
                <w:sz w:val="24"/>
                <w:szCs w:val="24"/>
              </w:rPr>
            </w:pPr>
            <w:r w:rsidRPr="007A1B78">
              <w:rPr>
                <w:rFonts w:cstheme="minorHAnsi"/>
                <w:color w:val="000000"/>
              </w:rPr>
              <w:t>141,285</w:t>
            </w:r>
          </w:p>
        </w:tc>
      </w:tr>
      <w:tr w:rsidR="00A32AC0" w:rsidRPr="007A1B78" w:rsidTr="00515B5E">
        <w:tc>
          <w:tcPr>
            <w:tcW w:w="5950" w:type="dxa"/>
            <w:shd w:val="clear" w:color="auto" w:fill="auto"/>
          </w:tcPr>
          <w:p w:rsidR="00A32AC0" w:rsidRPr="007A1B78" w:rsidRDefault="00A32AC0" w:rsidP="00515B5E">
            <w:pPr>
              <w:spacing w:afterLines="60" w:after="144" w:line="240" w:lineRule="auto"/>
              <w:rPr>
                <w:rFonts w:cstheme="minorHAnsi"/>
                <w:sz w:val="24"/>
                <w:szCs w:val="24"/>
              </w:rPr>
            </w:pPr>
            <w:r w:rsidRPr="007A1B78">
              <w:rPr>
                <w:rFonts w:cstheme="minorHAnsi"/>
                <w:color w:val="000000"/>
              </w:rPr>
              <w:t>Less Accumulated Depreciation &amp; Impairment</w:t>
            </w:r>
          </w:p>
        </w:tc>
        <w:tc>
          <w:tcPr>
            <w:tcW w:w="1670" w:type="dxa"/>
            <w:tcBorders>
              <w:bottom w:val="single" w:sz="4" w:space="0" w:color="auto"/>
            </w:tcBorders>
            <w:shd w:val="clear" w:color="auto" w:fill="auto"/>
          </w:tcPr>
          <w:p w:rsidR="00A32AC0" w:rsidRPr="007A1B78" w:rsidRDefault="00A32AC0" w:rsidP="00515B5E">
            <w:pPr>
              <w:spacing w:afterLines="60" w:after="144" w:line="240" w:lineRule="auto"/>
              <w:jc w:val="right"/>
              <w:rPr>
                <w:rFonts w:cstheme="minorHAnsi"/>
                <w:sz w:val="24"/>
                <w:szCs w:val="24"/>
              </w:rPr>
            </w:pPr>
            <w:r w:rsidRPr="007A1B78">
              <w:rPr>
                <w:rFonts w:cstheme="minorHAnsi"/>
                <w:color w:val="000000"/>
              </w:rPr>
              <w:t>(118,201)</w:t>
            </w:r>
          </w:p>
        </w:tc>
        <w:tc>
          <w:tcPr>
            <w:tcW w:w="1565" w:type="dxa"/>
            <w:tcBorders>
              <w:bottom w:val="single" w:sz="4" w:space="0" w:color="auto"/>
            </w:tcBorders>
            <w:shd w:val="clear" w:color="auto" w:fill="auto"/>
          </w:tcPr>
          <w:p w:rsidR="00A32AC0" w:rsidRPr="007A1B78" w:rsidRDefault="00A32AC0" w:rsidP="00515B5E">
            <w:pPr>
              <w:spacing w:afterLines="60" w:after="144" w:line="240" w:lineRule="auto"/>
              <w:jc w:val="right"/>
              <w:rPr>
                <w:rFonts w:cstheme="minorHAnsi"/>
                <w:color w:val="000000"/>
              </w:rPr>
            </w:pPr>
            <w:r w:rsidRPr="007A1B78">
              <w:rPr>
                <w:rFonts w:cstheme="minorHAnsi"/>
                <w:color w:val="000000"/>
              </w:rPr>
              <w:t>(111,221)</w:t>
            </w:r>
          </w:p>
        </w:tc>
      </w:tr>
      <w:tr w:rsidR="00A32AC0" w:rsidRPr="007A1B78" w:rsidTr="00515B5E">
        <w:tc>
          <w:tcPr>
            <w:tcW w:w="5950" w:type="dxa"/>
            <w:shd w:val="clear" w:color="auto" w:fill="auto"/>
          </w:tcPr>
          <w:p w:rsidR="00A32AC0" w:rsidRPr="007A1B78" w:rsidRDefault="00A32AC0" w:rsidP="00515B5E">
            <w:pPr>
              <w:spacing w:afterLines="60" w:after="144" w:line="240" w:lineRule="auto"/>
              <w:rPr>
                <w:rFonts w:cstheme="minorHAnsi"/>
                <w:sz w:val="24"/>
                <w:szCs w:val="24"/>
              </w:rPr>
            </w:pPr>
          </w:p>
        </w:tc>
        <w:tc>
          <w:tcPr>
            <w:tcW w:w="1670" w:type="dxa"/>
            <w:tcBorders>
              <w:top w:val="single" w:sz="4" w:space="0" w:color="auto"/>
            </w:tcBorders>
            <w:shd w:val="clear" w:color="auto" w:fill="auto"/>
          </w:tcPr>
          <w:p w:rsidR="00A32AC0" w:rsidRPr="007A1B78" w:rsidRDefault="00A32AC0" w:rsidP="00515B5E">
            <w:pPr>
              <w:spacing w:afterLines="60" w:after="144" w:line="240" w:lineRule="auto"/>
              <w:jc w:val="right"/>
              <w:rPr>
                <w:rFonts w:cstheme="minorHAnsi"/>
                <w:sz w:val="24"/>
                <w:szCs w:val="24"/>
              </w:rPr>
            </w:pPr>
            <w:r w:rsidRPr="007A1B78">
              <w:rPr>
                <w:rFonts w:cstheme="minorHAnsi"/>
                <w:color w:val="000000"/>
              </w:rPr>
              <w:t>21,123</w:t>
            </w:r>
          </w:p>
        </w:tc>
        <w:tc>
          <w:tcPr>
            <w:tcW w:w="1565" w:type="dxa"/>
            <w:tcBorders>
              <w:top w:val="single" w:sz="4" w:space="0" w:color="auto"/>
            </w:tcBorders>
            <w:shd w:val="clear" w:color="auto" w:fill="auto"/>
          </w:tcPr>
          <w:p w:rsidR="00A32AC0" w:rsidRPr="007A1B78" w:rsidRDefault="00A32AC0" w:rsidP="00515B5E">
            <w:pPr>
              <w:spacing w:afterLines="60" w:after="144" w:line="240" w:lineRule="auto"/>
              <w:jc w:val="right"/>
              <w:rPr>
                <w:rFonts w:cstheme="minorHAnsi"/>
                <w:color w:val="000000"/>
              </w:rPr>
            </w:pPr>
            <w:r w:rsidRPr="007A1B78">
              <w:rPr>
                <w:rFonts w:cstheme="minorHAnsi"/>
                <w:color w:val="000000"/>
              </w:rPr>
              <w:t>30,064</w:t>
            </w:r>
          </w:p>
        </w:tc>
      </w:tr>
      <w:tr w:rsidR="00A32AC0" w:rsidRPr="007A1B78" w:rsidTr="00515B5E">
        <w:tc>
          <w:tcPr>
            <w:tcW w:w="5950" w:type="dxa"/>
            <w:shd w:val="clear" w:color="auto" w:fill="auto"/>
          </w:tcPr>
          <w:p w:rsidR="00A32AC0" w:rsidRPr="007A1B78" w:rsidRDefault="00A32AC0" w:rsidP="00515B5E">
            <w:pPr>
              <w:spacing w:afterLines="60" w:after="144" w:line="240" w:lineRule="auto"/>
              <w:rPr>
                <w:rFonts w:cstheme="minorHAnsi"/>
                <w:sz w:val="24"/>
                <w:szCs w:val="24"/>
              </w:rPr>
            </w:pPr>
            <w:r w:rsidRPr="007A1B78">
              <w:rPr>
                <w:rFonts w:cstheme="minorHAnsi"/>
                <w:color w:val="000000"/>
              </w:rPr>
              <w:t>Furniture &amp; Fittings</w:t>
            </w:r>
          </w:p>
        </w:tc>
        <w:tc>
          <w:tcPr>
            <w:tcW w:w="1670" w:type="dxa"/>
            <w:shd w:val="clear" w:color="auto" w:fill="auto"/>
          </w:tcPr>
          <w:p w:rsidR="00A32AC0" w:rsidRPr="007A1B78" w:rsidRDefault="00A32AC0" w:rsidP="00515B5E">
            <w:pPr>
              <w:spacing w:afterLines="60" w:after="144" w:line="240" w:lineRule="auto"/>
              <w:jc w:val="right"/>
              <w:rPr>
                <w:rFonts w:cstheme="minorHAnsi"/>
                <w:sz w:val="24"/>
                <w:szCs w:val="24"/>
              </w:rPr>
            </w:pPr>
            <w:r w:rsidRPr="007A1B78">
              <w:rPr>
                <w:rFonts w:cstheme="minorHAnsi"/>
                <w:color w:val="000000"/>
              </w:rPr>
              <w:t>56,700</w:t>
            </w:r>
          </w:p>
        </w:tc>
        <w:tc>
          <w:tcPr>
            <w:tcW w:w="1565" w:type="dxa"/>
            <w:shd w:val="clear" w:color="auto" w:fill="auto"/>
          </w:tcPr>
          <w:p w:rsidR="00A32AC0" w:rsidRPr="007A1B78" w:rsidRDefault="00A32AC0" w:rsidP="00515B5E">
            <w:pPr>
              <w:spacing w:afterLines="60" w:after="144" w:line="240" w:lineRule="auto"/>
              <w:jc w:val="right"/>
              <w:rPr>
                <w:rFonts w:cstheme="minorHAnsi"/>
                <w:sz w:val="24"/>
                <w:szCs w:val="24"/>
              </w:rPr>
            </w:pPr>
            <w:r w:rsidRPr="007A1B78">
              <w:rPr>
                <w:rFonts w:cstheme="minorHAnsi"/>
                <w:color w:val="000000"/>
              </w:rPr>
              <w:t>56,955</w:t>
            </w:r>
          </w:p>
        </w:tc>
      </w:tr>
      <w:tr w:rsidR="00A32AC0" w:rsidRPr="007A1B78" w:rsidTr="00515B5E">
        <w:tc>
          <w:tcPr>
            <w:tcW w:w="5950" w:type="dxa"/>
            <w:shd w:val="clear" w:color="auto" w:fill="auto"/>
          </w:tcPr>
          <w:p w:rsidR="00A32AC0" w:rsidRPr="007A1B78" w:rsidRDefault="00A32AC0" w:rsidP="00515B5E">
            <w:pPr>
              <w:spacing w:afterLines="60" w:after="144" w:line="240" w:lineRule="auto"/>
              <w:rPr>
                <w:rFonts w:cstheme="minorHAnsi"/>
                <w:sz w:val="24"/>
                <w:szCs w:val="24"/>
              </w:rPr>
            </w:pPr>
            <w:r w:rsidRPr="007A1B78">
              <w:rPr>
                <w:rFonts w:cstheme="minorHAnsi"/>
                <w:color w:val="000000"/>
              </w:rPr>
              <w:t>Less Accumulated Depreciation &amp; Impairment</w:t>
            </w:r>
          </w:p>
        </w:tc>
        <w:tc>
          <w:tcPr>
            <w:tcW w:w="1670" w:type="dxa"/>
            <w:tcBorders>
              <w:bottom w:val="single" w:sz="4" w:space="0" w:color="auto"/>
            </w:tcBorders>
            <w:shd w:val="clear" w:color="auto" w:fill="auto"/>
          </w:tcPr>
          <w:p w:rsidR="00A32AC0" w:rsidRPr="007A1B78" w:rsidRDefault="00A32AC0" w:rsidP="00515B5E">
            <w:pPr>
              <w:spacing w:afterLines="60" w:after="144" w:line="240" w:lineRule="auto"/>
              <w:jc w:val="right"/>
              <w:rPr>
                <w:rFonts w:cstheme="minorHAnsi"/>
                <w:sz w:val="24"/>
                <w:szCs w:val="24"/>
              </w:rPr>
            </w:pPr>
            <w:r w:rsidRPr="007A1B78">
              <w:rPr>
                <w:rFonts w:cstheme="minorHAnsi"/>
                <w:color w:val="000000"/>
              </w:rPr>
              <w:t>(43,571)</w:t>
            </w:r>
          </w:p>
        </w:tc>
        <w:tc>
          <w:tcPr>
            <w:tcW w:w="1565" w:type="dxa"/>
            <w:tcBorders>
              <w:bottom w:val="single" w:sz="4" w:space="0" w:color="auto"/>
            </w:tcBorders>
            <w:shd w:val="clear" w:color="auto" w:fill="auto"/>
          </w:tcPr>
          <w:p w:rsidR="00A32AC0" w:rsidRPr="007A1B78" w:rsidRDefault="00A32AC0" w:rsidP="00515B5E">
            <w:pPr>
              <w:spacing w:afterLines="60" w:after="144" w:line="240" w:lineRule="auto"/>
              <w:jc w:val="right"/>
              <w:rPr>
                <w:rFonts w:cstheme="minorHAnsi"/>
                <w:sz w:val="24"/>
                <w:szCs w:val="24"/>
              </w:rPr>
            </w:pPr>
            <w:r w:rsidRPr="007A1B78">
              <w:rPr>
                <w:rFonts w:cstheme="minorHAnsi"/>
                <w:color w:val="000000"/>
              </w:rPr>
              <w:t>(39,143)</w:t>
            </w:r>
          </w:p>
        </w:tc>
      </w:tr>
      <w:tr w:rsidR="00A32AC0" w:rsidRPr="007A1B78" w:rsidTr="00515B5E">
        <w:tc>
          <w:tcPr>
            <w:tcW w:w="5950" w:type="dxa"/>
            <w:shd w:val="clear" w:color="auto" w:fill="auto"/>
          </w:tcPr>
          <w:p w:rsidR="00A32AC0" w:rsidRPr="007A1B78" w:rsidRDefault="00A32AC0" w:rsidP="00515B5E">
            <w:pPr>
              <w:spacing w:afterLines="60" w:after="144" w:line="240" w:lineRule="auto"/>
              <w:rPr>
                <w:rFonts w:cstheme="minorHAnsi"/>
                <w:sz w:val="24"/>
                <w:szCs w:val="24"/>
              </w:rPr>
            </w:pPr>
          </w:p>
        </w:tc>
        <w:tc>
          <w:tcPr>
            <w:tcW w:w="1670" w:type="dxa"/>
            <w:tcBorders>
              <w:top w:val="single" w:sz="4" w:space="0" w:color="auto"/>
            </w:tcBorders>
            <w:shd w:val="clear" w:color="auto" w:fill="auto"/>
          </w:tcPr>
          <w:p w:rsidR="00A32AC0" w:rsidRPr="007A1B78" w:rsidRDefault="00A32AC0" w:rsidP="00515B5E">
            <w:pPr>
              <w:spacing w:afterLines="60" w:after="144" w:line="240" w:lineRule="auto"/>
              <w:jc w:val="right"/>
              <w:rPr>
                <w:rFonts w:cstheme="minorHAnsi"/>
                <w:sz w:val="24"/>
                <w:szCs w:val="24"/>
              </w:rPr>
            </w:pPr>
            <w:r w:rsidRPr="007A1B78">
              <w:rPr>
                <w:rFonts w:cstheme="minorHAnsi"/>
                <w:color w:val="000000"/>
              </w:rPr>
              <w:t>13,129</w:t>
            </w:r>
          </w:p>
        </w:tc>
        <w:tc>
          <w:tcPr>
            <w:tcW w:w="1565" w:type="dxa"/>
            <w:tcBorders>
              <w:top w:val="single" w:sz="4" w:space="0" w:color="auto"/>
            </w:tcBorders>
            <w:shd w:val="clear" w:color="auto" w:fill="auto"/>
          </w:tcPr>
          <w:p w:rsidR="00A32AC0" w:rsidRPr="007A1B78" w:rsidRDefault="00A32AC0" w:rsidP="00515B5E">
            <w:pPr>
              <w:spacing w:afterLines="60" w:after="144" w:line="240" w:lineRule="auto"/>
              <w:jc w:val="right"/>
              <w:rPr>
                <w:rFonts w:cstheme="minorHAnsi"/>
                <w:sz w:val="24"/>
                <w:szCs w:val="24"/>
              </w:rPr>
            </w:pPr>
            <w:r w:rsidRPr="007A1B78">
              <w:rPr>
                <w:rFonts w:cstheme="minorHAnsi"/>
                <w:color w:val="000000"/>
              </w:rPr>
              <w:t>17,812</w:t>
            </w:r>
          </w:p>
        </w:tc>
      </w:tr>
      <w:tr w:rsidR="00A32AC0" w:rsidRPr="007A1B78" w:rsidTr="00515B5E">
        <w:tc>
          <w:tcPr>
            <w:tcW w:w="5950" w:type="dxa"/>
            <w:shd w:val="clear" w:color="auto" w:fill="auto"/>
          </w:tcPr>
          <w:p w:rsidR="00A32AC0" w:rsidRPr="007A1B78" w:rsidRDefault="00A32AC0" w:rsidP="00515B5E">
            <w:pPr>
              <w:spacing w:afterLines="60" w:after="144" w:line="240" w:lineRule="auto"/>
              <w:rPr>
                <w:rFonts w:cstheme="minorHAnsi"/>
                <w:sz w:val="24"/>
                <w:szCs w:val="24"/>
              </w:rPr>
            </w:pPr>
            <w:r w:rsidRPr="007A1B78">
              <w:rPr>
                <w:rFonts w:cstheme="minorHAnsi"/>
                <w:color w:val="000000"/>
              </w:rPr>
              <w:t>Software</w:t>
            </w:r>
          </w:p>
        </w:tc>
        <w:tc>
          <w:tcPr>
            <w:tcW w:w="1670" w:type="dxa"/>
            <w:shd w:val="clear" w:color="auto" w:fill="auto"/>
          </w:tcPr>
          <w:p w:rsidR="00A32AC0" w:rsidRPr="007A1B78" w:rsidRDefault="00A32AC0" w:rsidP="00515B5E">
            <w:pPr>
              <w:spacing w:afterLines="60" w:after="144" w:line="240" w:lineRule="auto"/>
              <w:jc w:val="right"/>
              <w:rPr>
                <w:rFonts w:cstheme="minorHAnsi"/>
                <w:sz w:val="24"/>
                <w:szCs w:val="24"/>
              </w:rPr>
            </w:pPr>
            <w:r w:rsidRPr="007A1B78">
              <w:rPr>
                <w:rFonts w:cstheme="minorHAnsi"/>
                <w:color w:val="000000"/>
              </w:rPr>
              <w:t>321,106</w:t>
            </w:r>
          </w:p>
        </w:tc>
        <w:tc>
          <w:tcPr>
            <w:tcW w:w="1565" w:type="dxa"/>
            <w:shd w:val="clear" w:color="auto" w:fill="auto"/>
          </w:tcPr>
          <w:p w:rsidR="00A32AC0" w:rsidRPr="007A1B78" w:rsidRDefault="00A32AC0" w:rsidP="00515B5E">
            <w:pPr>
              <w:spacing w:afterLines="60" w:after="144" w:line="240" w:lineRule="auto"/>
              <w:jc w:val="right"/>
              <w:rPr>
                <w:rFonts w:cstheme="minorHAnsi"/>
                <w:sz w:val="24"/>
                <w:szCs w:val="24"/>
              </w:rPr>
            </w:pPr>
            <w:r w:rsidRPr="007A1B78">
              <w:rPr>
                <w:rFonts w:cstheme="minorHAnsi"/>
                <w:color w:val="000000"/>
              </w:rPr>
              <w:t>218,368</w:t>
            </w:r>
          </w:p>
        </w:tc>
      </w:tr>
      <w:tr w:rsidR="00A32AC0" w:rsidRPr="007A1B78" w:rsidTr="00515B5E">
        <w:tc>
          <w:tcPr>
            <w:tcW w:w="5950" w:type="dxa"/>
            <w:shd w:val="clear" w:color="auto" w:fill="auto"/>
          </w:tcPr>
          <w:p w:rsidR="00A32AC0" w:rsidRPr="007A1B78" w:rsidRDefault="00A32AC0" w:rsidP="00515B5E">
            <w:pPr>
              <w:spacing w:afterLines="60" w:after="144" w:line="240" w:lineRule="auto"/>
              <w:rPr>
                <w:rFonts w:cstheme="minorHAnsi"/>
                <w:sz w:val="24"/>
                <w:szCs w:val="24"/>
              </w:rPr>
            </w:pPr>
            <w:r w:rsidRPr="007A1B78">
              <w:rPr>
                <w:rFonts w:cstheme="minorHAnsi"/>
                <w:color w:val="000000"/>
              </w:rPr>
              <w:t>Less Accumulated Depreciation &amp; Impairment</w:t>
            </w:r>
          </w:p>
        </w:tc>
        <w:tc>
          <w:tcPr>
            <w:tcW w:w="1670" w:type="dxa"/>
            <w:tcBorders>
              <w:bottom w:val="single" w:sz="4" w:space="0" w:color="auto"/>
            </w:tcBorders>
            <w:shd w:val="clear" w:color="auto" w:fill="auto"/>
          </w:tcPr>
          <w:p w:rsidR="00A32AC0" w:rsidRPr="007A1B78" w:rsidRDefault="00A32AC0" w:rsidP="00515B5E">
            <w:pPr>
              <w:spacing w:afterLines="60" w:after="144" w:line="240" w:lineRule="auto"/>
              <w:jc w:val="right"/>
              <w:rPr>
                <w:rFonts w:cstheme="minorHAnsi"/>
                <w:sz w:val="24"/>
                <w:szCs w:val="24"/>
              </w:rPr>
            </w:pPr>
            <w:r w:rsidRPr="007A1B78">
              <w:rPr>
                <w:rFonts w:cstheme="minorHAnsi"/>
                <w:color w:val="000000"/>
              </w:rPr>
              <w:t>(118,358)</w:t>
            </w:r>
          </w:p>
        </w:tc>
        <w:tc>
          <w:tcPr>
            <w:tcW w:w="1565" w:type="dxa"/>
            <w:tcBorders>
              <w:bottom w:val="single" w:sz="4" w:space="0" w:color="auto"/>
            </w:tcBorders>
            <w:shd w:val="clear" w:color="auto" w:fill="auto"/>
          </w:tcPr>
          <w:p w:rsidR="00A32AC0" w:rsidRPr="007A1B78" w:rsidRDefault="00A32AC0" w:rsidP="00515B5E">
            <w:pPr>
              <w:spacing w:afterLines="60" w:after="144" w:line="240" w:lineRule="auto"/>
              <w:jc w:val="right"/>
              <w:rPr>
                <w:rFonts w:cstheme="minorHAnsi"/>
                <w:sz w:val="24"/>
                <w:szCs w:val="24"/>
              </w:rPr>
            </w:pPr>
            <w:r w:rsidRPr="007A1B78">
              <w:rPr>
                <w:rFonts w:cstheme="minorHAnsi"/>
                <w:color w:val="000000"/>
              </w:rPr>
              <w:t>(19,932)</w:t>
            </w:r>
          </w:p>
        </w:tc>
      </w:tr>
      <w:tr w:rsidR="00A32AC0" w:rsidRPr="007A1B78" w:rsidTr="00832B35">
        <w:tc>
          <w:tcPr>
            <w:tcW w:w="5950" w:type="dxa"/>
            <w:shd w:val="clear" w:color="auto" w:fill="auto"/>
          </w:tcPr>
          <w:p w:rsidR="00A32AC0" w:rsidRPr="007A1B78" w:rsidRDefault="00A32AC0" w:rsidP="00515B5E">
            <w:pPr>
              <w:spacing w:afterLines="60" w:after="144" w:line="240" w:lineRule="auto"/>
              <w:rPr>
                <w:rFonts w:cstheme="minorHAnsi"/>
                <w:sz w:val="24"/>
                <w:szCs w:val="24"/>
              </w:rPr>
            </w:pPr>
          </w:p>
        </w:tc>
        <w:tc>
          <w:tcPr>
            <w:tcW w:w="1670" w:type="dxa"/>
            <w:tcBorders>
              <w:top w:val="single" w:sz="4" w:space="0" w:color="auto"/>
              <w:bottom w:val="single" w:sz="4" w:space="0" w:color="auto"/>
            </w:tcBorders>
            <w:shd w:val="clear" w:color="auto" w:fill="auto"/>
          </w:tcPr>
          <w:p w:rsidR="00A32AC0" w:rsidRPr="007A1B78" w:rsidRDefault="00A32AC0" w:rsidP="00515B5E">
            <w:pPr>
              <w:spacing w:afterLines="60" w:after="144" w:line="240" w:lineRule="auto"/>
              <w:jc w:val="right"/>
              <w:rPr>
                <w:rFonts w:cstheme="minorHAnsi"/>
                <w:sz w:val="24"/>
                <w:szCs w:val="24"/>
              </w:rPr>
            </w:pPr>
            <w:r w:rsidRPr="007A1B78">
              <w:rPr>
                <w:rFonts w:cstheme="minorHAnsi"/>
                <w:color w:val="000000"/>
              </w:rPr>
              <w:t>202,748</w:t>
            </w:r>
          </w:p>
        </w:tc>
        <w:tc>
          <w:tcPr>
            <w:tcW w:w="1565" w:type="dxa"/>
            <w:tcBorders>
              <w:top w:val="single" w:sz="4" w:space="0" w:color="auto"/>
              <w:bottom w:val="single" w:sz="4" w:space="0" w:color="auto"/>
            </w:tcBorders>
            <w:shd w:val="clear" w:color="auto" w:fill="auto"/>
          </w:tcPr>
          <w:p w:rsidR="00A32AC0" w:rsidRPr="007A1B78" w:rsidRDefault="00A32AC0" w:rsidP="00515B5E">
            <w:pPr>
              <w:spacing w:afterLines="60" w:after="144" w:line="240" w:lineRule="auto"/>
              <w:jc w:val="right"/>
              <w:rPr>
                <w:rFonts w:cstheme="minorHAnsi"/>
                <w:sz w:val="24"/>
                <w:szCs w:val="24"/>
              </w:rPr>
            </w:pPr>
            <w:r w:rsidRPr="007A1B78">
              <w:rPr>
                <w:rFonts w:cstheme="minorHAnsi"/>
                <w:color w:val="000000"/>
              </w:rPr>
              <w:t>198,436</w:t>
            </w:r>
          </w:p>
        </w:tc>
      </w:tr>
      <w:tr w:rsidR="00A32AC0" w:rsidRPr="007A1B78" w:rsidTr="00832B35">
        <w:tc>
          <w:tcPr>
            <w:tcW w:w="5950" w:type="dxa"/>
            <w:shd w:val="clear" w:color="auto" w:fill="auto"/>
          </w:tcPr>
          <w:p w:rsidR="00A32AC0" w:rsidRPr="00D1145B" w:rsidRDefault="00A32AC0" w:rsidP="00515B5E">
            <w:pPr>
              <w:spacing w:afterLines="60" w:after="144" w:line="240" w:lineRule="auto"/>
              <w:rPr>
                <w:rFonts w:cstheme="minorHAnsi"/>
                <w:b/>
                <w:sz w:val="24"/>
                <w:szCs w:val="24"/>
              </w:rPr>
            </w:pPr>
            <w:r w:rsidRPr="00D1145B">
              <w:rPr>
                <w:rFonts w:cstheme="minorHAnsi"/>
                <w:b/>
                <w:color w:val="000000"/>
              </w:rPr>
              <w:t>Total Plant &amp; Equipment</w:t>
            </w:r>
          </w:p>
        </w:tc>
        <w:tc>
          <w:tcPr>
            <w:tcW w:w="1670" w:type="dxa"/>
            <w:tcBorders>
              <w:top w:val="single" w:sz="4" w:space="0" w:color="auto"/>
              <w:bottom w:val="double" w:sz="4" w:space="0" w:color="auto"/>
            </w:tcBorders>
            <w:shd w:val="clear" w:color="auto" w:fill="auto"/>
          </w:tcPr>
          <w:p w:rsidR="00A32AC0" w:rsidRPr="007A1B78" w:rsidRDefault="00A32AC0" w:rsidP="00832B35">
            <w:pPr>
              <w:spacing w:after="60" w:line="240" w:lineRule="auto"/>
              <w:jc w:val="right"/>
              <w:rPr>
                <w:rFonts w:cstheme="minorHAnsi"/>
                <w:sz w:val="24"/>
                <w:szCs w:val="24"/>
              </w:rPr>
            </w:pPr>
            <w:r w:rsidRPr="007A1B78">
              <w:rPr>
                <w:rFonts w:cstheme="minorHAnsi"/>
                <w:color w:val="000000"/>
              </w:rPr>
              <w:t>243,796</w:t>
            </w:r>
          </w:p>
        </w:tc>
        <w:tc>
          <w:tcPr>
            <w:tcW w:w="1565" w:type="dxa"/>
            <w:tcBorders>
              <w:top w:val="single" w:sz="4" w:space="0" w:color="auto"/>
              <w:bottom w:val="double" w:sz="4" w:space="0" w:color="auto"/>
            </w:tcBorders>
            <w:shd w:val="clear" w:color="auto" w:fill="auto"/>
          </w:tcPr>
          <w:p w:rsidR="00A32AC0" w:rsidRPr="007A1B78" w:rsidRDefault="00A32AC0" w:rsidP="00832B35">
            <w:pPr>
              <w:spacing w:after="60" w:line="240" w:lineRule="auto"/>
              <w:jc w:val="right"/>
              <w:rPr>
                <w:rFonts w:cstheme="minorHAnsi"/>
                <w:sz w:val="24"/>
                <w:szCs w:val="24"/>
              </w:rPr>
            </w:pPr>
            <w:r w:rsidRPr="007A1B78">
              <w:rPr>
                <w:rFonts w:cstheme="minorHAnsi"/>
                <w:color w:val="000000"/>
              </w:rPr>
              <w:t>258,537</w:t>
            </w:r>
          </w:p>
        </w:tc>
      </w:tr>
    </w:tbl>
    <w:p w:rsidR="00D2400B" w:rsidRPr="006D2D33" w:rsidRDefault="00D2400B" w:rsidP="006D2D33">
      <w:pPr>
        <w:widowControl w:val="0"/>
        <w:tabs>
          <w:tab w:val="left" w:pos="1176"/>
          <w:tab w:val="left" w:pos="1729"/>
        </w:tabs>
        <w:autoSpaceDE w:val="0"/>
        <w:autoSpaceDN w:val="0"/>
        <w:adjustRightInd w:val="0"/>
        <w:spacing w:before="240" w:after="0" w:line="240" w:lineRule="auto"/>
        <w:rPr>
          <w:rFonts w:cstheme="minorHAnsi"/>
          <w:szCs w:val="22"/>
          <w:highlight w:val="yellow"/>
        </w:rPr>
      </w:pPr>
    </w:p>
    <w:tbl>
      <w:tblPr>
        <w:tblStyle w:val="TableGrid"/>
        <w:tblW w:w="928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Description w:val="trade and other payables"/>
      </w:tblPr>
      <w:tblGrid>
        <w:gridCol w:w="5893"/>
        <w:gridCol w:w="1701"/>
        <w:gridCol w:w="474"/>
        <w:gridCol w:w="55"/>
        <w:gridCol w:w="1030"/>
        <w:gridCol w:w="32"/>
        <w:gridCol w:w="99"/>
      </w:tblGrid>
      <w:tr w:rsidR="00D2400B" w:rsidRPr="00D1145B" w:rsidTr="00B24359">
        <w:trPr>
          <w:gridAfter w:val="2"/>
          <w:wAfter w:w="131" w:type="dxa"/>
          <w:tblHeader/>
          <w:jc w:val="center"/>
        </w:trPr>
        <w:tc>
          <w:tcPr>
            <w:tcW w:w="5893" w:type="dxa"/>
          </w:tcPr>
          <w:p w:rsidR="00D2400B" w:rsidRPr="00F104FF" w:rsidRDefault="00EC6D27" w:rsidP="006D2D33">
            <w:pPr>
              <w:pStyle w:val="Heading2"/>
              <w:spacing w:before="0"/>
              <w:outlineLvl w:val="1"/>
              <w:rPr>
                <w:b w:val="0"/>
                <w:sz w:val="24"/>
                <w:szCs w:val="24"/>
              </w:rPr>
            </w:pPr>
            <w:r>
              <w:rPr>
                <w:b w:val="0"/>
              </w:rPr>
              <w:t xml:space="preserve">10. </w:t>
            </w:r>
            <w:r w:rsidR="00712378">
              <w:rPr>
                <w:b w:val="0"/>
              </w:rPr>
              <w:t xml:space="preserve"> </w:t>
            </w:r>
            <w:r w:rsidR="00D2400B" w:rsidRPr="00F104FF">
              <w:rPr>
                <w:b w:val="0"/>
              </w:rPr>
              <w:t>Trade and Other Payables</w:t>
            </w:r>
          </w:p>
        </w:tc>
        <w:tc>
          <w:tcPr>
            <w:tcW w:w="1701" w:type="dxa"/>
          </w:tcPr>
          <w:p w:rsidR="00D2400B" w:rsidRPr="00D1145B" w:rsidRDefault="006D2D33" w:rsidP="006D2D33">
            <w:pPr>
              <w:spacing w:after="0"/>
              <w:jc w:val="right"/>
              <w:rPr>
                <w:rFonts w:cstheme="minorHAnsi"/>
                <w:sz w:val="24"/>
                <w:szCs w:val="24"/>
              </w:rPr>
            </w:pPr>
            <w:r w:rsidRPr="00182357">
              <w:rPr>
                <w:rFonts w:cstheme="minorHAnsi"/>
                <w:b/>
                <w:szCs w:val="24"/>
              </w:rPr>
              <w:t>2013</w:t>
            </w:r>
            <w:r w:rsidRPr="00182357">
              <w:rPr>
                <w:rFonts w:cstheme="minorHAnsi"/>
                <w:b/>
                <w:szCs w:val="24"/>
              </w:rPr>
              <w:br/>
              <w:t>$</w:t>
            </w:r>
          </w:p>
        </w:tc>
        <w:tc>
          <w:tcPr>
            <w:tcW w:w="1559" w:type="dxa"/>
            <w:gridSpan w:val="3"/>
          </w:tcPr>
          <w:p w:rsidR="00D2400B" w:rsidRPr="00D1145B" w:rsidRDefault="006D2D33" w:rsidP="006D2D33">
            <w:pPr>
              <w:spacing w:after="0"/>
              <w:jc w:val="right"/>
              <w:rPr>
                <w:rFonts w:cstheme="minorHAnsi"/>
                <w:sz w:val="24"/>
                <w:szCs w:val="24"/>
              </w:rPr>
            </w:pPr>
            <w:r w:rsidRPr="00182357">
              <w:rPr>
                <w:rFonts w:cstheme="minorHAnsi"/>
                <w:b/>
                <w:szCs w:val="24"/>
              </w:rPr>
              <w:t>2012</w:t>
            </w:r>
            <w:r w:rsidRPr="00182357">
              <w:rPr>
                <w:rFonts w:cstheme="minorHAnsi"/>
                <w:b/>
                <w:szCs w:val="24"/>
              </w:rPr>
              <w:br/>
              <w:t>$</w:t>
            </w:r>
          </w:p>
        </w:tc>
      </w:tr>
      <w:tr w:rsidR="00CC0E20" w:rsidRPr="00D1145B" w:rsidTr="00B24359">
        <w:trPr>
          <w:gridAfter w:val="1"/>
          <w:wAfter w:w="99" w:type="dxa"/>
          <w:jc w:val="center"/>
        </w:trPr>
        <w:tc>
          <w:tcPr>
            <w:tcW w:w="5893" w:type="dxa"/>
          </w:tcPr>
          <w:p w:rsidR="00CC0E20" w:rsidRPr="0044141E" w:rsidRDefault="00CC0E20" w:rsidP="006D2D33">
            <w:pPr>
              <w:rPr>
                <w:rFonts w:cstheme="minorHAnsi"/>
                <w:b/>
                <w:sz w:val="24"/>
                <w:szCs w:val="24"/>
                <w:highlight w:val="yellow"/>
              </w:rPr>
            </w:pPr>
            <w:r w:rsidRPr="0083231D">
              <w:rPr>
                <w:rFonts w:cstheme="minorHAnsi"/>
                <w:b/>
                <w:color w:val="000000"/>
              </w:rPr>
              <w:t>Current</w:t>
            </w:r>
          </w:p>
        </w:tc>
        <w:tc>
          <w:tcPr>
            <w:tcW w:w="2230" w:type="dxa"/>
            <w:gridSpan w:val="3"/>
          </w:tcPr>
          <w:p w:rsidR="00CC0E20" w:rsidRPr="00182357" w:rsidRDefault="00CC0E20" w:rsidP="00182357">
            <w:pPr>
              <w:jc w:val="right"/>
              <w:rPr>
                <w:rFonts w:cstheme="minorHAnsi"/>
                <w:b/>
                <w:szCs w:val="24"/>
              </w:rPr>
            </w:pPr>
          </w:p>
        </w:tc>
        <w:tc>
          <w:tcPr>
            <w:tcW w:w="1062" w:type="dxa"/>
            <w:gridSpan w:val="2"/>
          </w:tcPr>
          <w:p w:rsidR="00CC0E20" w:rsidRPr="00182357" w:rsidRDefault="00CC0E20" w:rsidP="00182357">
            <w:pPr>
              <w:jc w:val="right"/>
              <w:rPr>
                <w:rFonts w:cstheme="minorHAnsi"/>
                <w:b/>
                <w:szCs w:val="24"/>
              </w:rPr>
            </w:pPr>
          </w:p>
        </w:tc>
      </w:tr>
      <w:tr w:rsidR="00D2400B" w:rsidRPr="00D1145B" w:rsidTr="00B24359">
        <w:trPr>
          <w:jc w:val="center"/>
        </w:trPr>
        <w:tc>
          <w:tcPr>
            <w:tcW w:w="5893" w:type="dxa"/>
          </w:tcPr>
          <w:p w:rsidR="00D2400B" w:rsidRPr="00D1145B" w:rsidRDefault="00D2400B" w:rsidP="00EC6D27">
            <w:pPr>
              <w:rPr>
                <w:rFonts w:cstheme="minorHAnsi"/>
                <w:sz w:val="24"/>
                <w:szCs w:val="24"/>
              </w:rPr>
            </w:pPr>
            <w:r w:rsidRPr="00D1145B">
              <w:rPr>
                <w:rFonts w:cstheme="minorHAnsi"/>
                <w:color w:val="000000"/>
              </w:rPr>
              <w:t>Trade payables</w:t>
            </w:r>
          </w:p>
        </w:tc>
        <w:tc>
          <w:tcPr>
            <w:tcW w:w="2175" w:type="dxa"/>
            <w:gridSpan w:val="2"/>
          </w:tcPr>
          <w:p w:rsidR="00D2400B" w:rsidRPr="00D1145B" w:rsidRDefault="00BE7EB4" w:rsidP="00B24359">
            <w:pPr>
              <w:ind w:right="421"/>
              <w:jc w:val="right"/>
              <w:rPr>
                <w:rFonts w:cstheme="minorHAnsi"/>
                <w:sz w:val="24"/>
                <w:szCs w:val="24"/>
              </w:rPr>
            </w:pPr>
            <w:r w:rsidRPr="00D1145B">
              <w:rPr>
                <w:rFonts w:cstheme="minorHAnsi"/>
                <w:color w:val="000000"/>
              </w:rPr>
              <w:t xml:space="preserve"> </w:t>
            </w:r>
            <w:r w:rsidR="00D2400B" w:rsidRPr="00D1145B">
              <w:rPr>
                <w:rFonts w:cstheme="minorHAnsi"/>
                <w:color w:val="000000"/>
              </w:rPr>
              <w:t>13,595</w:t>
            </w:r>
          </w:p>
        </w:tc>
        <w:tc>
          <w:tcPr>
            <w:tcW w:w="1216" w:type="dxa"/>
            <w:gridSpan w:val="4"/>
          </w:tcPr>
          <w:p w:rsidR="00D2400B" w:rsidRPr="00D1145B" w:rsidRDefault="00D2400B" w:rsidP="00B24359">
            <w:pPr>
              <w:jc w:val="right"/>
              <w:rPr>
                <w:rFonts w:cstheme="minorHAnsi"/>
                <w:sz w:val="24"/>
                <w:szCs w:val="24"/>
              </w:rPr>
            </w:pPr>
            <w:r w:rsidRPr="00D1145B">
              <w:rPr>
                <w:rFonts w:cstheme="minorHAnsi"/>
                <w:color w:val="000000"/>
              </w:rPr>
              <w:t>170,987</w:t>
            </w:r>
          </w:p>
        </w:tc>
      </w:tr>
      <w:tr w:rsidR="00D1145B" w:rsidRPr="00D1145B" w:rsidTr="00B24359">
        <w:trPr>
          <w:jc w:val="center"/>
        </w:trPr>
        <w:tc>
          <w:tcPr>
            <w:tcW w:w="5893" w:type="dxa"/>
          </w:tcPr>
          <w:p w:rsidR="00D2400B" w:rsidRPr="00D1145B" w:rsidRDefault="00D2400B" w:rsidP="00EC6D27">
            <w:pPr>
              <w:rPr>
                <w:rFonts w:cstheme="minorHAnsi"/>
                <w:sz w:val="24"/>
                <w:szCs w:val="24"/>
              </w:rPr>
            </w:pPr>
            <w:r w:rsidRPr="00D1145B">
              <w:rPr>
                <w:rFonts w:cstheme="minorHAnsi"/>
                <w:color w:val="000000"/>
              </w:rPr>
              <w:t>Other payables</w:t>
            </w:r>
          </w:p>
        </w:tc>
        <w:tc>
          <w:tcPr>
            <w:tcW w:w="2175" w:type="dxa"/>
            <w:gridSpan w:val="2"/>
            <w:tcBorders>
              <w:bottom w:val="single" w:sz="4" w:space="0" w:color="auto"/>
            </w:tcBorders>
          </w:tcPr>
          <w:p w:rsidR="00D2400B" w:rsidRPr="00D1145B" w:rsidRDefault="00D2400B" w:rsidP="00B24359">
            <w:pPr>
              <w:ind w:right="421"/>
              <w:jc w:val="right"/>
              <w:rPr>
                <w:rFonts w:cstheme="minorHAnsi"/>
                <w:sz w:val="24"/>
                <w:szCs w:val="24"/>
              </w:rPr>
            </w:pPr>
            <w:r w:rsidRPr="00D1145B">
              <w:rPr>
                <w:rFonts w:cstheme="minorHAnsi"/>
                <w:color w:val="000000"/>
              </w:rPr>
              <w:t>115,191</w:t>
            </w:r>
          </w:p>
        </w:tc>
        <w:tc>
          <w:tcPr>
            <w:tcW w:w="1216" w:type="dxa"/>
            <w:gridSpan w:val="4"/>
            <w:tcBorders>
              <w:bottom w:val="single" w:sz="4" w:space="0" w:color="auto"/>
            </w:tcBorders>
          </w:tcPr>
          <w:p w:rsidR="00D2400B" w:rsidRPr="00D1145B" w:rsidRDefault="00D2400B" w:rsidP="00B24359">
            <w:pPr>
              <w:jc w:val="right"/>
              <w:rPr>
                <w:rFonts w:cstheme="minorHAnsi"/>
                <w:sz w:val="24"/>
                <w:szCs w:val="24"/>
              </w:rPr>
            </w:pPr>
            <w:r w:rsidRPr="00D1145B">
              <w:rPr>
                <w:rFonts w:cstheme="minorHAnsi"/>
                <w:color w:val="000000"/>
              </w:rPr>
              <w:t>105,265</w:t>
            </w:r>
          </w:p>
        </w:tc>
      </w:tr>
      <w:tr w:rsidR="00D1145B" w:rsidRPr="00D1145B" w:rsidTr="00B24359">
        <w:trPr>
          <w:jc w:val="center"/>
        </w:trPr>
        <w:tc>
          <w:tcPr>
            <w:tcW w:w="5893" w:type="dxa"/>
          </w:tcPr>
          <w:p w:rsidR="00D2400B" w:rsidRPr="00D1145B" w:rsidRDefault="00D2400B" w:rsidP="00EC6D27">
            <w:pPr>
              <w:rPr>
                <w:rFonts w:cstheme="minorHAnsi"/>
                <w:sz w:val="24"/>
                <w:szCs w:val="24"/>
              </w:rPr>
            </w:pPr>
            <w:r w:rsidRPr="00D1145B">
              <w:rPr>
                <w:rFonts w:cstheme="minorHAnsi"/>
                <w:b/>
                <w:bCs/>
                <w:color w:val="000000"/>
              </w:rPr>
              <w:t>Total Trade and Other Payables</w:t>
            </w:r>
          </w:p>
        </w:tc>
        <w:tc>
          <w:tcPr>
            <w:tcW w:w="2175" w:type="dxa"/>
            <w:gridSpan w:val="2"/>
            <w:tcBorders>
              <w:top w:val="single" w:sz="4" w:space="0" w:color="auto"/>
              <w:bottom w:val="double" w:sz="4" w:space="0" w:color="auto"/>
            </w:tcBorders>
          </w:tcPr>
          <w:p w:rsidR="00D2400B" w:rsidRPr="00D1145B" w:rsidRDefault="00D2400B" w:rsidP="00B24359">
            <w:pPr>
              <w:spacing w:after="60"/>
              <w:ind w:right="421"/>
              <w:jc w:val="right"/>
              <w:rPr>
                <w:rFonts w:cstheme="minorHAnsi"/>
                <w:sz w:val="24"/>
                <w:szCs w:val="24"/>
              </w:rPr>
            </w:pPr>
            <w:r w:rsidRPr="00D1145B">
              <w:rPr>
                <w:rFonts w:cstheme="minorHAnsi"/>
                <w:color w:val="000000"/>
              </w:rPr>
              <w:t>128,786</w:t>
            </w:r>
          </w:p>
        </w:tc>
        <w:tc>
          <w:tcPr>
            <w:tcW w:w="1216" w:type="dxa"/>
            <w:gridSpan w:val="4"/>
            <w:tcBorders>
              <w:top w:val="single" w:sz="4" w:space="0" w:color="auto"/>
              <w:bottom w:val="double" w:sz="4" w:space="0" w:color="auto"/>
            </w:tcBorders>
          </w:tcPr>
          <w:p w:rsidR="00D2400B" w:rsidRPr="00D1145B" w:rsidRDefault="00D2400B" w:rsidP="00B24359">
            <w:pPr>
              <w:spacing w:after="60"/>
              <w:jc w:val="right"/>
              <w:rPr>
                <w:rFonts w:cstheme="minorHAnsi"/>
                <w:sz w:val="24"/>
                <w:szCs w:val="24"/>
              </w:rPr>
            </w:pPr>
            <w:r w:rsidRPr="00D1145B">
              <w:rPr>
                <w:rFonts w:cstheme="minorHAnsi"/>
                <w:color w:val="000000"/>
              </w:rPr>
              <w:t>276,252</w:t>
            </w:r>
          </w:p>
        </w:tc>
      </w:tr>
    </w:tbl>
    <w:p w:rsidR="006D2D33" w:rsidRDefault="006D2D33" w:rsidP="00712543">
      <w:pPr>
        <w:widowControl w:val="0"/>
        <w:autoSpaceDE w:val="0"/>
        <w:autoSpaceDN w:val="0"/>
        <w:adjustRightInd w:val="0"/>
        <w:spacing w:before="2640" w:after="0" w:line="240" w:lineRule="auto"/>
        <w:ind w:left="1728" w:right="1176"/>
        <w:jc w:val="center"/>
        <w:rPr>
          <w:rFonts w:cstheme="minorHAnsi"/>
          <w:color w:val="000000"/>
        </w:rPr>
      </w:pPr>
      <w:r w:rsidRPr="00105329">
        <w:rPr>
          <w:rFonts w:cstheme="minorHAnsi"/>
          <w:i/>
          <w:iCs/>
          <w:color w:val="000000"/>
          <w:szCs w:val="16"/>
        </w:rPr>
        <w:t>These notes form part of the financial statements</w:t>
      </w:r>
      <w:r>
        <w:rPr>
          <w:rFonts w:cstheme="minorHAnsi"/>
          <w:color w:val="000000"/>
        </w:rPr>
        <w:br w:type="page"/>
      </w:r>
    </w:p>
    <w:p w:rsidR="006D2D33" w:rsidRPr="00E171F7" w:rsidRDefault="006D2D33" w:rsidP="006D2D33">
      <w:pPr>
        <w:rPr>
          <w:sz w:val="48"/>
        </w:rPr>
      </w:pPr>
      <w:r w:rsidRPr="00E171F7">
        <w:rPr>
          <w:sz w:val="48"/>
        </w:rPr>
        <w:lastRenderedPageBreak/>
        <w:t>Notes to the Financial Statements</w:t>
      </w:r>
    </w:p>
    <w:p w:rsidR="006D2D33" w:rsidRPr="006D2D33" w:rsidRDefault="006D2D33" w:rsidP="006D2D33">
      <w:pPr>
        <w:rPr>
          <w:b/>
          <w:sz w:val="24"/>
          <w:szCs w:val="24"/>
        </w:rPr>
      </w:pPr>
      <w:r w:rsidRPr="00E171F7">
        <w:rPr>
          <w:b/>
        </w:rPr>
        <w:t>For the Year ended 30 June 2013</w:t>
      </w:r>
    </w:p>
    <w:tbl>
      <w:tblPr>
        <w:tblStyle w:val="TableGrid"/>
        <w:tblW w:w="90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Description w:val="trade and other payables"/>
      </w:tblPr>
      <w:tblGrid>
        <w:gridCol w:w="5848"/>
        <w:gridCol w:w="1559"/>
        <w:gridCol w:w="1689"/>
      </w:tblGrid>
      <w:tr w:rsidR="006D2D33" w:rsidRPr="00D1145B" w:rsidTr="005A5C48">
        <w:trPr>
          <w:tblHeader/>
          <w:jc w:val="center"/>
        </w:trPr>
        <w:tc>
          <w:tcPr>
            <w:tcW w:w="5848" w:type="dxa"/>
          </w:tcPr>
          <w:p w:rsidR="006D2D33" w:rsidRPr="00F104FF" w:rsidRDefault="006D2D33" w:rsidP="006D2D33">
            <w:pPr>
              <w:pStyle w:val="Heading2"/>
              <w:spacing w:before="0"/>
              <w:outlineLvl w:val="1"/>
              <w:rPr>
                <w:b w:val="0"/>
                <w:sz w:val="24"/>
                <w:szCs w:val="24"/>
              </w:rPr>
            </w:pPr>
            <w:r>
              <w:rPr>
                <w:b w:val="0"/>
              </w:rPr>
              <w:t>11.  Provisions</w:t>
            </w:r>
          </w:p>
        </w:tc>
        <w:tc>
          <w:tcPr>
            <w:tcW w:w="1559" w:type="dxa"/>
          </w:tcPr>
          <w:p w:rsidR="006D2D33" w:rsidRPr="00D1145B" w:rsidRDefault="006D2D33" w:rsidP="006D2D33">
            <w:pPr>
              <w:spacing w:after="0"/>
              <w:jc w:val="right"/>
              <w:rPr>
                <w:rFonts w:cstheme="minorHAnsi"/>
                <w:sz w:val="24"/>
                <w:szCs w:val="24"/>
              </w:rPr>
            </w:pPr>
            <w:r w:rsidRPr="00182357">
              <w:rPr>
                <w:rFonts w:cstheme="minorHAnsi"/>
                <w:b/>
                <w:szCs w:val="24"/>
              </w:rPr>
              <w:t>2013</w:t>
            </w:r>
            <w:r w:rsidRPr="00182357">
              <w:rPr>
                <w:rFonts w:cstheme="minorHAnsi"/>
                <w:b/>
                <w:szCs w:val="24"/>
              </w:rPr>
              <w:br/>
              <w:t>$</w:t>
            </w:r>
          </w:p>
        </w:tc>
        <w:tc>
          <w:tcPr>
            <w:tcW w:w="1689" w:type="dxa"/>
          </w:tcPr>
          <w:p w:rsidR="006D2D33" w:rsidRPr="00D1145B" w:rsidRDefault="006D2D33" w:rsidP="006D2D33">
            <w:pPr>
              <w:spacing w:after="0"/>
              <w:jc w:val="right"/>
              <w:rPr>
                <w:rFonts w:cstheme="minorHAnsi"/>
                <w:sz w:val="24"/>
                <w:szCs w:val="24"/>
              </w:rPr>
            </w:pPr>
            <w:r w:rsidRPr="00182357">
              <w:rPr>
                <w:rFonts w:cstheme="minorHAnsi"/>
                <w:b/>
                <w:szCs w:val="24"/>
              </w:rPr>
              <w:t>2012</w:t>
            </w:r>
            <w:r w:rsidRPr="00182357">
              <w:rPr>
                <w:rFonts w:cstheme="minorHAnsi"/>
                <w:b/>
                <w:szCs w:val="24"/>
              </w:rPr>
              <w:br/>
              <w:t>$</w:t>
            </w:r>
          </w:p>
        </w:tc>
      </w:tr>
      <w:tr w:rsidR="006D2D33" w:rsidRPr="00D1145B" w:rsidTr="005A5C48">
        <w:trPr>
          <w:jc w:val="center"/>
        </w:trPr>
        <w:tc>
          <w:tcPr>
            <w:tcW w:w="5848" w:type="dxa"/>
          </w:tcPr>
          <w:p w:rsidR="006D2D33" w:rsidRPr="0044141E" w:rsidRDefault="006D2D33" w:rsidP="00515B5E">
            <w:pPr>
              <w:rPr>
                <w:rFonts w:cstheme="minorHAnsi"/>
                <w:b/>
                <w:sz w:val="24"/>
                <w:szCs w:val="24"/>
                <w:highlight w:val="yellow"/>
              </w:rPr>
            </w:pPr>
            <w:r w:rsidRPr="0083231D">
              <w:rPr>
                <w:rFonts w:cstheme="minorHAnsi"/>
                <w:b/>
                <w:color w:val="000000"/>
              </w:rPr>
              <w:t>Current</w:t>
            </w:r>
          </w:p>
        </w:tc>
        <w:tc>
          <w:tcPr>
            <w:tcW w:w="1559" w:type="dxa"/>
          </w:tcPr>
          <w:p w:rsidR="006D2D33" w:rsidRPr="00182357" w:rsidRDefault="006D2D33" w:rsidP="00515B5E">
            <w:pPr>
              <w:jc w:val="right"/>
              <w:rPr>
                <w:rFonts w:cstheme="minorHAnsi"/>
                <w:b/>
                <w:szCs w:val="24"/>
              </w:rPr>
            </w:pPr>
          </w:p>
        </w:tc>
        <w:tc>
          <w:tcPr>
            <w:tcW w:w="1689" w:type="dxa"/>
          </w:tcPr>
          <w:p w:rsidR="006D2D33" w:rsidRPr="00182357" w:rsidRDefault="006D2D33" w:rsidP="00515B5E">
            <w:pPr>
              <w:jc w:val="right"/>
              <w:rPr>
                <w:rFonts w:cstheme="minorHAnsi"/>
                <w:b/>
                <w:szCs w:val="24"/>
              </w:rPr>
            </w:pPr>
          </w:p>
        </w:tc>
      </w:tr>
      <w:tr w:rsidR="00182357" w:rsidRPr="00160D69" w:rsidTr="005A5C48">
        <w:trPr>
          <w:jc w:val="center"/>
        </w:trPr>
        <w:tc>
          <w:tcPr>
            <w:tcW w:w="5848" w:type="dxa"/>
          </w:tcPr>
          <w:p w:rsidR="00182357" w:rsidRPr="00160D69" w:rsidRDefault="00182357" w:rsidP="00EC6D27">
            <w:pPr>
              <w:ind w:left="52" w:hanging="52"/>
              <w:rPr>
                <w:sz w:val="24"/>
                <w:szCs w:val="24"/>
              </w:rPr>
            </w:pPr>
            <w:r w:rsidRPr="00160D69">
              <w:t>Liability for annual leave</w:t>
            </w:r>
          </w:p>
        </w:tc>
        <w:tc>
          <w:tcPr>
            <w:tcW w:w="1559" w:type="dxa"/>
          </w:tcPr>
          <w:p w:rsidR="00182357" w:rsidRPr="00160D69" w:rsidRDefault="00182357" w:rsidP="00182357">
            <w:pPr>
              <w:ind w:left="-108" w:right="-108"/>
              <w:jc w:val="right"/>
              <w:rPr>
                <w:sz w:val="24"/>
                <w:szCs w:val="24"/>
              </w:rPr>
            </w:pPr>
            <w:r>
              <w:t>57,386</w:t>
            </w:r>
          </w:p>
        </w:tc>
        <w:tc>
          <w:tcPr>
            <w:tcW w:w="1689" w:type="dxa"/>
          </w:tcPr>
          <w:p w:rsidR="00182357" w:rsidRPr="00160D69" w:rsidRDefault="00182357" w:rsidP="005A5C48">
            <w:pPr>
              <w:jc w:val="right"/>
              <w:rPr>
                <w:sz w:val="24"/>
                <w:szCs w:val="24"/>
              </w:rPr>
            </w:pPr>
            <w:r w:rsidRPr="00160D69">
              <w:t>42,084</w:t>
            </w:r>
          </w:p>
        </w:tc>
      </w:tr>
      <w:tr w:rsidR="00182357" w:rsidRPr="00160D69" w:rsidTr="005A5C48">
        <w:trPr>
          <w:jc w:val="center"/>
        </w:trPr>
        <w:tc>
          <w:tcPr>
            <w:tcW w:w="5848" w:type="dxa"/>
          </w:tcPr>
          <w:p w:rsidR="00182357" w:rsidRPr="00160D69" w:rsidRDefault="00182357" w:rsidP="00EC6D27">
            <w:pPr>
              <w:spacing w:line="240" w:lineRule="auto"/>
              <w:ind w:left="-13" w:firstLine="13"/>
              <w:rPr>
                <w:sz w:val="24"/>
                <w:szCs w:val="24"/>
              </w:rPr>
            </w:pPr>
            <w:r w:rsidRPr="00832B35">
              <w:rPr>
                <w:b/>
              </w:rPr>
              <w:t>Non-current</w:t>
            </w:r>
            <w:r>
              <w:br/>
            </w:r>
            <w:r w:rsidRPr="00160D69">
              <w:t>Provision for Long Service Leave</w:t>
            </w:r>
          </w:p>
        </w:tc>
        <w:tc>
          <w:tcPr>
            <w:tcW w:w="1559" w:type="dxa"/>
            <w:tcBorders>
              <w:bottom w:val="single" w:sz="2" w:space="0" w:color="auto"/>
            </w:tcBorders>
            <w:vAlign w:val="bottom"/>
          </w:tcPr>
          <w:p w:rsidR="00182357" w:rsidRPr="00160D69" w:rsidRDefault="00182357" w:rsidP="00182357">
            <w:pPr>
              <w:spacing w:line="240" w:lineRule="auto"/>
              <w:ind w:left="-108" w:right="-108"/>
              <w:jc w:val="right"/>
              <w:rPr>
                <w:sz w:val="24"/>
                <w:szCs w:val="24"/>
              </w:rPr>
            </w:pPr>
            <w:r>
              <w:t>79,863</w:t>
            </w:r>
          </w:p>
        </w:tc>
        <w:tc>
          <w:tcPr>
            <w:tcW w:w="1689" w:type="dxa"/>
            <w:tcBorders>
              <w:bottom w:val="single" w:sz="2" w:space="0" w:color="auto"/>
            </w:tcBorders>
            <w:vAlign w:val="bottom"/>
          </w:tcPr>
          <w:p w:rsidR="00182357" w:rsidRPr="00160D69" w:rsidRDefault="00182357" w:rsidP="005A5C48">
            <w:pPr>
              <w:spacing w:line="240" w:lineRule="auto"/>
              <w:jc w:val="right"/>
              <w:rPr>
                <w:sz w:val="24"/>
                <w:szCs w:val="24"/>
              </w:rPr>
            </w:pPr>
            <w:r w:rsidRPr="00160D69">
              <w:t>64,574</w:t>
            </w:r>
          </w:p>
        </w:tc>
      </w:tr>
      <w:tr w:rsidR="00182357" w:rsidRPr="00160D69" w:rsidTr="005A5C48">
        <w:trPr>
          <w:trHeight w:val="218"/>
          <w:jc w:val="center"/>
        </w:trPr>
        <w:tc>
          <w:tcPr>
            <w:tcW w:w="5848" w:type="dxa"/>
          </w:tcPr>
          <w:p w:rsidR="00182357" w:rsidRPr="00D1145B" w:rsidRDefault="00182357" w:rsidP="00EC6D27">
            <w:pPr>
              <w:ind w:left="-13" w:firstLine="13"/>
              <w:rPr>
                <w:b/>
                <w:sz w:val="24"/>
                <w:szCs w:val="24"/>
              </w:rPr>
            </w:pPr>
            <w:r w:rsidRPr="00D1145B">
              <w:rPr>
                <w:b/>
              </w:rPr>
              <w:t>Total Provisions</w:t>
            </w:r>
          </w:p>
        </w:tc>
        <w:tc>
          <w:tcPr>
            <w:tcW w:w="1559" w:type="dxa"/>
            <w:tcBorders>
              <w:top w:val="single" w:sz="2" w:space="0" w:color="auto"/>
              <w:bottom w:val="double" w:sz="4" w:space="0" w:color="auto"/>
            </w:tcBorders>
          </w:tcPr>
          <w:p w:rsidR="00182357" w:rsidRPr="00160D69" w:rsidRDefault="00182357" w:rsidP="00E821E2">
            <w:pPr>
              <w:spacing w:after="60"/>
              <w:ind w:left="-108" w:right="-108"/>
              <w:jc w:val="right"/>
              <w:rPr>
                <w:sz w:val="24"/>
                <w:szCs w:val="24"/>
              </w:rPr>
            </w:pPr>
            <w:r>
              <w:t>137,249</w:t>
            </w:r>
          </w:p>
        </w:tc>
        <w:tc>
          <w:tcPr>
            <w:tcW w:w="1689" w:type="dxa"/>
            <w:tcBorders>
              <w:top w:val="single" w:sz="2" w:space="0" w:color="auto"/>
              <w:bottom w:val="double" w:sz="4" w:space="0" w:color="auto"/>
            </w:tcBorders>
          </w:tcPr>
          <w:p w:rsidR="00182357" w:rsidRPr="00160D69" w:rsidRDefault="00182357" w:rsidP="005A5C48">
            <w:pPr>
              <w:spacing w:after="60"/>
              <w:jc w:val="right"/>
              <w:rPr>
                <w:sz w:val="24"/>
                <w:szCs w:val="24"/>
              </w:rPr>
            </w:pPr>
            <w:r w:rsidRPr="00160D69">
              <w:t>106,658</w:t>
            </w:r>
          </w:p>
        </w:tc>
      </w:tr>
    </w:tbl>
    <w:p w:rsidR="00D2400B" w:rsidRPr="00771824" w:rsidRDefault="00D2400B" w:rsidP="000C5471">
      <w:pPr>
        <w:spacing w:before="240"/>
        <w:rPr>
          <w:b/>
        </w:rPr>
      </w:pPr>
      <w:r w:rsidRPr="00771824">
        <w:rPr>
          <w:b/>
        </w:rPr>
        <w:t>Provision for Long-term Employee Benefits</w:t>
      </w:r>
    </w:p>
    <w:p w:rsidR="00D2400B" w:rsidRDefault="00D2400B" w:rsidP="000C5471">
      <w:r>
        <w:t>A provision has been recognis</w:t>
      </w:r>
      <w:r w:rsidRPr="00D916BE">
        <w:t>ed for employee entitlements relating to long service leave</w:t>
      </w:r>
      <w:r>
        <w:t xml:space="preserve">. </w:t>
      </w:r>
      <w:r w:rsidRPr="00D916BE">
        <w:t>The measurement and recognition criteria relating to employee benefits have been included in Note 1 to this report.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capital redemption reserves"/>
      </w:tblPr>
      <w:tblGrid>
        <w:gridCol w:w="5910"/>
        <w:gridCol w:w="1539"/>
        <w:gridCol w:w="1605"/>
      </w:tblGrid>
      <w:tr w:rsidR="0078384F" w:rsidRPr="0078384F" w:rsidTr="00DB3DFE">
        <w:trPr>
          <w:cnfStyle w:val="100000000000" w:firstRow="1" w:lastRow="0" w:firstColumn="0" w:lastColumn="0" w:oddVBand="0" w:evenVBand="0" w:oddHBand="0" w:evenHBand="0" w:firstRowFirstColumn="0" w:firstRowLastColumn="0" w:lastRowFirstColumn="0" w:lastRowLastColumn="0"/>
          <w:tblHeader/>
          <w:jc w:val="center"/>
        </w:trPr>
        <w:tc>
          <w:tcPr>
            <w:tcW w:w="5910" w:type="dxa"/>
          </w:tcPr>
          <w:p w:rsidR="0078384F" w:rsidRPr="00F104FF" w:rsidRDefault="00EC6D27" w:rsidP="00EC6D27">
            <w:pPr>
              <w:pStyle w:val="Heading2"/>
              <w:outlineLvl w:val="1"/>
              <w:rPr>
                <w:rFonts w:ascii="Times New Roman" w:hAnsi="Times New Roman"/>
                <w:sz w:val="24"/>
                <w:szCs w:val="24"/>
              </w:rPr>
            </w:pPr>
            <w:r w:rsidRPr="00A32AC0">
              <w:t xml:space="preserve">12. </w:t>
            </w:r>
            <w:r w:rsidR="00A32AC0" w:rsidRPr="00A32AC0">
              <w:t xml:space="preserve"> </w:t>
            </w:r>
            <w:r w:rsidR="0078384F" w:rsidRPr="00A32AC0">
              <w:t>Reserves</w:t>
            </w:r>
          </w:p>
        </w:tc>
        <w:tc>
          <w:tcPr>
            <w:tcW w:w="1539" w:type="dxa"/>
          </w:tcPr>
          <w:p w:rsidR="0078384F" w:rsidRPr="0078384F" w:rsidRDefault="0078384F" w:rsidP="00DB3DFE">
            <w:pPr>
              <w:jc w:val="right"/>
              <w:rPr>
                <w:rFonts w:cstheme="minorHAnsi"/>
                <w:szCs w:val="24"/>
              </w:rPr>
            </w:pPr>
            <w:r w:rsidRPr="0078384F">
              <w:rPr>
                <w:rFonts w:cstheme="minorHAnsi"/>
                <w:szCs w:val="24"/>
              </w:rPr>
              <w:t>2013</w:t>
            </w:r>
            <w:r w:rsidRPr="0078384F">
              <w:rPr>
                <w:rFonts w:cstheme="minorHAnsi"/>
                <w:szCs w:val="24"/>
              </w:rPr>
              <w:br/>
              <w:t>$</w:t>
            </w:r>
          </w:p>
        </w:tc>
        <w:tc>
          <w:tcPr>
            <w:tcW w:w="1605" w:type="dxa"/>
          </w:tcPr>
          <w:p w:rsidR="0078384F" w:rsidRPr="0078384F" w:rsidRDefault="0078384F" w:rsidP="00DB3DFE">
            <w:pPr>
              <w:jc w:val="right"/>
              <w:rPr>
                <w:rFonts w:cstheme="minorHAnsi"/>
                <w:szCs w:val="24"/>
              </w:rPr>
            </w:pPr>
            <w:r w:rsidRPr="0078384F">
              <w:rPr>
                <w:rFonts w:cstheme="minorHAnsi"/>
                <w:szCs w:val="24"/>
              </w:rPr>
              <w:t>2012</w:t>
            </w:r>
            <w:r w:rsidRPr="0078384F">
              <w:rPr>
                <w:rFonts w:cstheme="minorHAnsi"/>
                <w:szCs w:val="24"/>
              </w:rPr>
              <w:br/>
              <w:t>$</w:t>
            </w:r>
          </w:p>
        </w:tc>
      </w:tr>
      <w:tr w:rsidR="0078384F" w:rsidRPr="00160D69" w:rsidTr="00DB3DFE">
        <w:trPr>
          <w:jc w:val="center"/>
        </w:trPr>
        <w:tc>
          <w:tcPr>
            <w:tcW w:w="5910" w:type="dxa"/>
          </w:tcPr>
          <w:p w:rsidR="0078384F" w:rsidRPr="00464410" w:rsidRDefault="0078384F" w:rsidP="000C5471">
            <w:pPr>
              <w:rPr>
                <w:rFonts w:cstheme="minorHAnsi"/>
                <w:color w:val="000000"/>
              </w:rPr>
            </w:pPr>
            <w:r w:rsidRPr="00464410">
              <w:rPr>
                <w:rFonts w:cstheme="minorHAnsi"/>
                <w:color w:val="000000"/>
              </w:rPr>
              <w:t>Capital Redemption Reserve</w:t>
            </w:r>
          </w:p>
        </w:tc>
        <w:tc>
          <w:tcPr>
            <w:tcW w:w="1539" w:type="dxa"/>
            <w:tcBorders>
              <w:bottom w:val="single" w:sz="2" w:space="0" w:color="auto"/>
            </w:tcBorders>
          </w:tcPr>
          <w:p w:rsidR="0078384F" w:rsidRPr="00464410" w:rsidRDefault="0078384F" w:rsidP="00DB3DFE">
            <w:pPr>
              <w:jc w:val="right"/>
              <w:rPr>
                <w:rFonts w:cstheme="minorHAnsi"/>
                <w:color w:val="000000"/>
              </w:rPr>
            </w:pPr>
            <w:r w:rsidRPr="00464410">
              <w:rPr>
                <w:rFonts w:cstheme="minorHAnsi"/>
                <w:color w:val="000000"/>
              </w:rPr>
              <w:t>448,100</w:t>
            </w:r>
          </w:p>
        </w:tc>
        <w:tc>
          <w:tcPr>
            <w:tcW w:w="1605" w:type="dxa"/>
            <w:tcBorders>
              <w:bottom w:val="single" w:sz="2" w:space="0" w:color="auto"/>
            </w:tcBorders>
          </w:tcPr>
          <w:p w:rsidR="0078384F" w:rsidRPr="00464410" w:rsidRDefault="0078384F" w:rsidP="00DB3DFE">
            <w:pPr>
              <w:jc w:val="right"/>
              <w:rPr>
                <w:rFonts w:cstheme="minorHAnsi"/>
                <w:color w:val="000000"/>
              </w:rPr>
            </w:pPr>
            <w:r w:rsidRPr="00464410">
              <w:rPr>
                <w:rFonts w:cstheme="minorHAnsi"/>
                <w:color w:val="000000"/>
              </w:rPr>
              <w:t>448,100</w:t>
            </w:r>
          </w:p>
        </w:tc>
      </w:tr>
      <w:tr w:rsidR="0078384F" w:rsidRPr="00160D69" w:rsidTr="00DB3DFE">
        <w:trPr>
          <w:jc w:val="center"/>
        </w:trPr>
        <w:tc>
          <w:tcPr>
            <w:tcW w:w="5910" w:type="dxa"/>
          </w:tcPr>
          <w:p w:rsidR="0078384F" w:rsidRPr="00464410" w:rsidRDefault="0078384F" w:rsidP="00464410">
            <w:pPr>
              <w:ind w:left="653"/>
              <w:rPr>
                <w:rFonts w:cstheme="minorHAnsi"/>
                <w:color w:val="000000"/>
              </w:rPr>
            </w:pPr>
          </w:p>
        </w:tc>
        <w:tc>
          <w:tcPr>
            <w:tcW w:w="1539" w:type="dxa"/>
            <w:tcBorders>
              <w:top w:val="single" w:sz="2" w:space="0" w:color="auto"/>
              <w:bottom w:val="double" w:sz="4" w:space="0" w:color="auto"/>
            </w:tcBorders>
          </w:tcPr>
          <w:p w:rsidR="0078384F" w:rsidRPr="00464410" w:rsidRDefault="0078384F" w:rsidP="00DB3DFE">
            <w:pPr>
              <w:spacing w:after="60"/>
              <w:jc w:val="right"/>
              <w:rPr>
                <w:rFonts w:cstheme="minorHAnsi"/>
                <w:color w:val="000000"/>
              </w:rPr>
            </w:pPr>
            <w:r w:rsidRPr="00464410">
              <w:rPr>
                <w:rFonts w:cstheme="minorHAnsi"/>
                <w:color w:val="000000"/>
              </w:rPr>
              <w:t>448,100</w:t>
            </w:r>
          </w:p>
        </w:tc>
        <w:tc>
          <w:tcPr>
            <w:tcW w:w="1605" w:type="dxa"/>
            <w:tcBorders>
              <w:top w:val="single" w:sz="2" w:space="0" w:color="auto"/>
              <w:bottom w:val="double" w:sz="4" w:space="0" w:color="auto"/>
            </w:tcBorders>
          </w:tcPr>
          <w:p w:rsidR="0078384F" w:rsidRPr="00464410" w:rsidRDefault="0078384F" w:rsidP="00DB3DFE">
            <w:pPr>
              <w:spacing w:after="60"/>
              <w:jc w:val="right"/>
              <w:rPr>
                <w:rFonts w:cstheme="minorHAnsi"/>
                <w:color w:val="000000"/>
              </w:rPr>
            </w:pPr>
            <w:r w:rsidRPr="00464410">
              <w:rPr>
                <w:rFonts w:cstheme="minorHAnsi"/>
                <w:color w:val="000000"/>
              </w:rPr>
              <w:t>448,100</w:t>
            </w:r>
          </w:p>
        </w:tc>
      </w:tr>
    </w:tbl>
    <w:p w:rsidR="00D2400B" w:rsidRPr="00464410" w:rsidRDefault="00D2400B" w:rsidP="000C5471">
      <w:pPr>
        <w:rPr>
          <w:b/>
        </w:rPr>
      </w:pPr>
      <w:r w:rsidRPr="00464410">
        <w:rPr>
          <w:b/>
        </w:rPr>
        <w:t>Capital Redemption Reserve</w:t>
      </w:r>
    </w:p>
    <w:p w:rsidR="00D2400B" w:rsidRPr="00FE72FC" w:rsidRDefault="00D2400B" w:rsidP="000C5471">
      <w:pPr>
        <w:rPr>
          <w:highlight w:val="yellow"/>
        </w:rPr>
      </w:pPr>
      <w:r w:rsidRPr="00FE72FC">
        <w:t xml:space="preserve">Upon disposal of </w:t>
      </w:r>
      <w:proofErr w:type="spellStart"/>
      <w:r w:rsidRPr="00FE72FC">
        <w:t>revalued</w:t>
      </w:r>
      <w:proofErr w:type="spellEnd"/>
      <w:r w:rsidRPr="00FE72FC">
        <w:t xml:space="preserve"> assets, any related revaluation increment standing to the credit of the</w:t>
      </w:r>
      <w:r w:rsidR="00BE7EB4">
        <w:t xml:space="preserve"> </w:t>
      </w:r>
      <w:r w:rsidRPr="00FE72FC">
        <w:t>asset revaluation reserve is transferred to the capital redemption reserve.</w:t>
      </w:r>
    </w:p>
    <w:p w:rsidR="00D2400B" w:rsidRPr="00A32AC0" w:rsidRDefault="00EC6D27" w:rsidP="00EC6D27">
      <w:pPr>
        <w:pStyle w:val="Heading2"/>
        <w:rPr>
          <w:b w:val="0"/>
        </w:rPr>
      </w:pPr>
      <w:r w:rsidRPr="00A32AC0">
        <w:rPr>
          <w:b w:val="0"/>
        </w:rPr>
        <w:t>13.</w:t>
      </w:r>
      <w:r w:rsidR="00A32AC0" w:rsidRPr="00A32AC0">
        <w:rPr>
          <w:b w:val="0"/>
        </w:rPr>
        <w:t xml:space="preserve">  </w:t>
      </w:r>
      <w:r w:rsidR="00D2400B" w:rsidRPr="00A32AC0">
        <w:rPr>
          <w:b w:val="0"/>
        </w:rPr>
        <w:t>Members’ Guarantee</w:t>
      </w:r>
    </w:p>
    <w:p w:rsidR="00D2400B" w:rsidRPr="00BE679F" w:rsidRDefault="00D2400B" w:rsidP="000C5471">
      <w:pPr>
        <w:widowControl w:val="0"/>
        <w:tabs>
          <w:tab w:val="left" w:pos="993"/>
        </w:tabs>
        <w:autoSpaceDE w:val="0"/>
        <w:autoSpaceDN w:val="0"/>
        <w:adjustRightInd w:val="0"/>
        <w:spacing w:after="240" w:line="240" w:lineRule="auto"/>
      </w:pPr>
      <w:r w:rsidRPr="00BE679F">
        <w:t>The company is limited by guarantee. If the company is wound up, the Constitution states that each member is required to contribute a maximum of $50 each towards meeting any outstanding obligations of the Company. At 30 June 2013 the number of members was 14 (2012:14).</w:t>
      </w:r>
    </w:p>
    <w:p w:rsidR="00D2400B" w:rsidRPr="00FC5AAD" w:rsidRDefault="00EC6D27" w:rsidP="00EC6D27">
      <w:pPr>
        <w:pStyle w:val="Heading2"/>
        <w:rPr>
          <w:b w:val="0"/>
          <w:szCs w:val="32"/>
        </w:rPr>
      </w:pPr>
      <w:r>
        <w:rPr>
          <w:b w:val="0"/>
          <w:szCs w:val="32"/>
        </w:rPr>
        <w:t xml:space="preserve">14. </w:t>
      </w:r>
      <w:r w:rsidR="00A32AC0">
        <w:rPr>
          <w:b w:val="0"/>
          <w:szCs w:val="32"/>
        </w:rPr>
        <w:t xml:space="preserve"> </w:t>
      </w:r>
      <w:r w:rsidR="00D2400B" w:rsidRPr="00FC5AAD">
        <w:rPr>
          <w:b w:val="0"/>
          <w:szCs w:val="32"/>
        </w:rPr>
        <w:t>Financial Risk Management</w:t>
      </w:r>
    </w:p>
    <w:p w:rsidR="00D2400B" w:rsidRDefault="00D2400B" w:rsidP="000C5471">
      <w:pPr>
        <w:widowControl w:val="0"/>
        <w:autoSpaceDE w:val="0"/>
        <w:autoSpaceDN w:val="0"/>
        <w:adjustRightInd w:val="0"/>
        <w:spacing w:before="55" w:after="240" w:line="240" w:lineRule="auto"/>
      </w:pPr>
      <w:r w:rsidRPr="00BE679F">
        <w:t>The company’s financial instruments consist mainly of deposits wit</w:t>
      </w:r>
      <w:r w:rsidR="00BE679F">
        <w:t xml:space="preserve">h banks, short-term investments, </w:t>
      </w:r>
      <w:r w:rsidRPr="00BE679F">
        <w:t>and accounts receivable and payable.</w:t>
      </w:r>
    </w:p>
    <w:p w:rsidR="002A1136" w:rsidRDefault="002A1136" w:rsidP="00712543">
      <w:pPr>
        <w:widowControl w:val="0"/>
        <w:autoSpaceDE w:val="0"/>
        <w:autoSpaceDN w:val="0"/>
        <w:adjustRightInd w:val="0"/>
        <w:spacing w:before="2040" w:after="0" w:line="240" w:lineRule="auto"/>
        <w:ind w:left="1728" w:right="1176"/>
        <w:jc w:val="center"/>
        <w:rPr>
          <w:rFonts w:cstheme="minorHAnsi"/>
          <w:color w:val="000000"/>
        </w:rPr>
      </w:pPr>
      <w:r w:rsidRPr="00105329">
        <w:rPr>
          <w:rFonts w:cstheme="minorHAnsi"/>
          <w:i/>
          <w:iCs/>
          <w:color w:val="000000"/>
          <w:szCs w:val="16"/>
        </w:rPr>
        <w:t>These notes form part of the financial statements</w:t>
      </w:r>
      <w:r>
        <w:rPr>
          <w:rFonts w:cstheme="minorHAnsi"/>
          <w:color w:val="000000"/>
        </w:rPr>
        <w:br w:type="page"/>
      </w:r>
    </w:p>
    <w:p w:rsidR="002A1136" w:rsidRPr="00E171F7" w:rsidRDefault="002A1136" w:rsidP="002A1136">
      <w:pPr>
        <w:rPr>
          <w:sz w:val="48"/>
        </w:rPr>
      </w:pPr>
      <w:r w:rsidRPr="00E171F7">
        <w:rPr>
          <w:sz w:val="48"/>
        </w:rPr>
        <w:lastRenderedPageBreak/>
        <w:t>Notes to the Financial Statements</w:t>
      </w:r>
    </w:p>
    <w:p w:rsidR="002A1136" w:rsidRPr="006D2D33" w:rsidRDefault="002A1136" w:rsidP="002A1136">
      <w:pPr>
        <w:rPr>
          <w:b/>
          <w:sz w:val="24"/>
          <w:szCs w:val="24"/>
        </w:rPr>
      </w:pPr>
      <w:r w:rsidRPr="00E171F7">
        <w:rPr>
          <w:b/>
        </w:rPr>
        <w:t>For the Year ended 30 June 2013</w:t>
      </w:r>
    </w:p>
    <w:p w:rsidR="002A1136" w:rsidRPr="00FC5AAD" w:rsidRDefault="002A1136" w:rsidP="002A1136">
      <w:pPr>
        <w:widowControl w:val="0"/>
        <w:autoSpaceDE w:val="0"/>
        <w:autoSpaceDN w:val="0"/>
        <w:adjustRightInd w:val="0"/>
        <w:spacing w:before="240"/>
        <w:rPr>
          <w:rFonts w:cstheme="minorHAnsi"/>
          <w:sz w:val="32"/>
        </w:rPr>
      </w:pPr>
      <w:r w:rsidRPr="00FC5AAD">
        <w:rPr>
          <w:rFonts w:cstheme="minorHAnsi"/>
          <w:sz w:val="32"/>
        </w:rPr>
        <w:t>14.</w:t>
      </w:r>
      <w:r>
        <w:rPr>
          <w:rFonts w:cstheme="minorHAnsi"/>
          <w:sz w:val="32"/>
        </w:rPr>
        <w:t xml:space="preserve"> </w:t>
      </w:r>
      <w:r w:rsidRPr="00FC5AAD">
        <w:rPr>
          <w:rFonts w:cstheme="minorHAnsi"/>
          <w:sz w:val="32"/>
        </w:rPr>
        <w:t xml:space="preserve"> Financial Risk </w:t>
      </w:r>
      <w:r>
        <w:rPr>
          <w:rFonts w:cstheme="minorHAnsi"/>
          <w:sz w:val="32"/>
        </w:rPr>
        <w:t>Management (c</w:t>
      </w:r>
      <w:r w:rsidRPr="00FC5AAD">
        <w:rPr>
          <w:rFonts w:cstheme="minorHAnsi"/>
          <w:sz w:val="32"/>
        </w:rPr>
        <w:t>ontinued)</w:t>
      </w:r>
    </w:p>
    <w:p w:rsidR="00D2400B" w:rsidRPr="00BE679F" w:rsidRDefault="00D2400B" w:rsidP="000C5471">
      <w:pPr>
        <w:widowControl w:val="0"/>
        <w:autoSpaceDE w:val="0"/>
        <w:autoSpaceDN w:val="0"/>
        <w:adjustRightInd w:val="0"/>
        <w:spacing w:before="55" w:after="240" w:line="240" w:lineRule="auto"/>
      </w:pPr>
      <w:r w:rsidRPr="00BE679F">
        <w:t>The totals for each category of financial instruments, measured in accordance with AASB 139 as detailed in the accounting policies to these financial statements, are as follows:</w:t>
      </w:r>
    </w:p>
    <w:tbl>
      <w:tblPr>
        <w:tblStyle w:val="TableGrid"/>
        <w:tblW w:w="92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financial assets and liabilities"/>
      </w:tblPr>
      <w:tblGrid>
        <w:gridCol w:w="4941"/>
        <w:gridCol w:w="1377"/>
        <w:gridCol w:w="87"/>
        <w:gridCol w:w="1303"/>
        <w:gridCol w:w="13"/>
        <w:gridCol w:w="1464"/>
        <w:gridCol w:w="24"/>
      </w:tblGrid>
      <w:tr w:rsidR="00D2400B" w:rsidRPr="009A2800" w:rsidTr="00DB3DFE">
        <w:trPr>
          <w:gridAfter w:val="1"/>
          <w:cnfStyle w:val="100000000000" w:firstRow="1" w:lastRow="0" w:firstColumn="0" w:lastColumn="0" w:oddVBand="0" w:evenVBand="0" w:oddHBand="0" w:evenHBand="0" w:firstRowFirstColumn="0" w:firstRowLastColumn="0" w:lastRowFirstColumn="0" w:lastRowLastColumn="0"/>
          <w:wAfter w:w="24" w:type="dxa"/>
          <w:tblHeader/>
          <w:jc w:val="center"/>
        </w:trPr>
        <w:tc>
          <w:tcPr>
            <w:tcW w:w="4941" w:type="dxa"/>
          </w:tcPr>
          <w:p w:rsidR="00D2400B" w:rsidRPr="009A2800" w:rsidRDefault="00D2400B" w:rsidP="009A2800">
            <w:pPr>
              <w:spacing w:line="240" w:lineRule="auto"/>
              <w:rPr>
                <w:rFonts w:cstheme="minorHAnsi"/>
              </w:rPr>
            </w:pPr>
            <w:r w:rsidRPr="009A2800">
              <w:rPr>
                <w:rFonts w:cstheme="minorHAnsi"/>
              </w:rPr>
              <w:t>Financial Assets</w:t>
            </w:r>
          </w:p>
        </w:tc>
        <w:tc>
          <w:tcPr>
            <w:tcW w:w="1464" w:type="dxa"/>
            <w:gridSpan w:val="2"/>
          </w:tcPr>
          <w:p w:rsidR="00D2400B" w:rsidRPr="009A2800" w:rsidRDefault="00D2400B" w:rsidP="0078384F">
            <w:pPr>
              <w:spacing w:line="240" w:lineRule="auto"/>
              <w:jc w:val="center"/>
              <w:rPr>
                <w:rFonts w:cstheme="minorHAnsi"/>
              </w:rPr>
            </w:pPr>
            <w:r w:rsidRPr="009A2800">
              <w:rPr>
                <w:rFonts w:cstheme="minorHAnsi"/>
              </w:rPr>
              <w:t>Note</w:t>
            </w:r>
          </w:p>
        </w:tc>
        <w:tc>
          <w:tcPr>
            <w:tcW w:w="1316" w:type="dxa"/>
            <w:gridSpan w:val="2"/>
          </w:tcPr>
          <w:p w:rsidR="00D2400B" w:rsidRPr="009A2800" w:rsidRDefault="00D2400B" w:rsidP="0078384F">
            <w:pPr>
              <w:spacing w:line="240" w:lineRule="auto"/>
              <w:jc w:val="right"/>
              <w:rPr>
                <w:rFonts w:cstheme="minorHAnsi"/>
                <w:sz w:val="24"/>
                <w:szCs w:val="24"/>
              </w:rPr>
            </w:pPr>
            <w:r w:rsidRPr="009A2800">
              <w:rPr>
                <w:rFonts w:cstheme="minorHAnsi"/>
                <w:color w:val="000000"/>
              </w:rPr>
              <w:t>2013</w:t>
            </w:r>
            <w:r w:rsidR="009A2800">
              <w:rPr>
                <w:rFonts w:cstheme="minorHAnsi"/>
                <w:color w:val="000000"/>
              </w:rPr>
              <w:br/>
              <w:t>$</w:t>
            </w:r>
          </w:p>
        </w:tc>
        <w:tc>
          <w:tcPr>
            <w:tcW w:w="1464" w:type="dxa"/>
          </w:tcPr>
          <w:p w:rsidR="00D2400B" w:rsidRPr="009A2800" w:rsidRDefault="00D2400B" w:rsidP="0078384F">
            <w:pPr>
              <w:spacing w:line="240" w:lineRule="auto"/>
              <w:jc w:val="right"/>
              <w:rPr>
                <w:rFonts w:cstheme="minorHAnsi"/>
                <w:sz w:val="24"/>
                <w:szCs w:val="24"/>
              </w:rPr>
            </w:pPr>
            <w:r w:rsidRPr="009A2800">
              <w:rPr>
                <w:rFonts w:cstheme="minorHAnsi"/>
                <w:color w:val="000000"/>
              </w:rPr>
              <w:t>2012</w:t>
            </w:r>
            <w:r w:rsidR="009A2800">
              <w:rPr>
                <w:rFonts w:cstheme="minorHAnsi"/>
                <w:color w:val="000000"/>
              </w:rPr>
              <w:br/>
              <w:t>$</w:t>
            </w:r>
          </w:p>
        </w:tc>
      </w:tr>
      <w:tr w:rsidR="00D2400B" w:rsidRPr="00160D69" w:rsidTr="00DB3DFE">
        <w:trPr>
          <w:gridAfter w:val="1"/>
          <w:wAfter w:w="24" w:type="dxa"/>
          <w:jc w:val="center"/>
        </w:trPr>
        <w:tc>
          <w:tcPr>
            <w:tcW w:w="4941" w:type="dxa"/>
          </w:tcPr>
          <w:p w:rsidR="00D2400B" w:rsidRPr="00160D69" w:rsidRDefault="00D2400B" w:rsidP="009A2800">
            <w:pPr>
              <w:spacing w:line="240" w:lineRule="auto"/>
            </w:pPr>
            <w:r w:rsidRPr="00160D69">
              <w:t>Cash and cash equivalent</w:t>
            </w:r>
          </w:p>
        </w:tc>
        <w:tc>
          <w:tcPr>
            <w:tcW w:w="1464" w:type="dxa"/>
            <w:gridSpan w:val="2"/>
          </w:tcPr>
          <w:p w:rsidR="00D2400B" w:rsidRPr="00160D69" w:rsidRDefault="00D2400B" w:rsidP="0078384F">
            <w:pPr>
              <w:spacing w:line="240" w:lineRule="auto"/>
              <w:jc w:val="center"/>
            </w:pPr>
            <w:r w:rsidRPr="00160D69">
              <w:t>6</w:t>
            </w:r>
          </w:p>
        </w:tc>
        <w:tc>
          <w:tcPr>
            <w:tcW w:w="1316" w:type="dxa"/>
            <w:gridSpan w:val="2"/>
          </w:tcPr>
          <w:p w:rsidR="00D2400B" w:rsidRPr="00160D69" w:rsidRDefault="00D2400B" w:rsidP="0078384F">
            <w:pPr>
              <w:spacing w:line="240" w:lineRule="auto"/>
              <w:jc w:val="right"/>
            </w:pPr>
            <w:r>
              <w:t>1,411,511</w:t>
            </w:r>
          </w:p>
        </w:tc>
        <w:tc>
          <w:tcPr>
            <w:tcW w:w="1464" w:type="dxa"/>
          </w:tcPr>
          <w:p w:rsidR="00D2400B" w:rsidRPr="00160D69" w:rsidRDefault="00D2400B" w:rsidP="0078384F">
            <w:pPr>
              <w:spacing w:line="240" w:lineRule="auto"/>
              <w:jc w:val="right"/>
            </w:pPr>
            <w:r w:rsidRPr="00160D69">
              <w:t>2,426,122</w:t>
            </w:r>
          </w:p>
        </w:tc>
      </w:tr>
      <w:tr w:rsidR="00D2400B" w:rsidRPr="00160D69" w:rsidTr="00DB3DFE">
        <w:trPr>
          <w:gridAfter w:val="1"/>
          <w:wAfter w:w="24" w:type="dxa"/>
          <w:jc w:val="center"/>
        </w:trPr>
        <w:tc>
          <w:tcPr>
            <w:tcW w:w="4941" w:type="dxa"/>
          </w:tcPr>
          <w:p w:rsidR="00D2400B" w:rsidRPr="00160D69" w:rsidRDefault="00D2400B" w:rsidP="009A2800">
            <w:pPr>
              <w:spacing w:line="240" w:lineRule="auto"/>
            </w:pPr>
            <w:r w:rsidRPr="00160D69">
              <w:t>Financial assets at fair value through profit or loss</w:t>
            </w:r>
          </w:p>
        </w:tc>
        <w:tc>
          <w:tcPr>
            <w:tcW w:w="1464" w:type="dxa"/>
            <w:gridSpan w:val="2"/>
          </w:tcPr>
          <w:p w:rsidR="00D2400B" w:rsidRPr="00160D69" w:rsidRDefault="00D2400B" w:rsidP="0078384F">
            <w:pPr>
              <w:spacing w:line="240" w:lineRule="auto"/>
              <w:jc w:val="center"/>
            </w:pPr>
            <w:r w:rsidRPr="00160D69">
              <w:t>8</w:t>
            </w:r>
          </w:p>
        </w:tc>
        <w:tc>
          <w:tcPr>
            <w:tcW w:w="1316" w:type="dxa"/>
            <w:gridSpan w:val="2"/>
          </w:tcPr>
          <w:p w:rsidR="00D2400B" w:rsidRPr="00160D69" w:rsidRDefault="00D2400B" w:rsidP="0078384F">
            <w:pPr>
              <w:spacing w:line="240" w:lineRule="auto"/>
              <w:jc w:val="right"/>
            </w:pPr>
            <w:r>
              <w:t>6,175,522</w:t>
            </w:r>
          </w:p>
        </w:tc>
        <w:tc>
          <w:tcPr>
            <w:tcW w:w="1464" w:type="dxa"/>
          </w:tcPr>
          <w:p w:rsidR="00D2400B" w:rsidRPr="00160D69" w:rsidRDefault="00D2400B" w:rsidP="0078384F">
            <w:pPr>
              <w:spacing w:line="240" w:lineRule="auto"/>
              <w:jc w:val="right"/>
            </w:pPr>
            <w:r w:rsidRPr="00160D69">
              <w:t>5,757,873</w:t>
            </w:r>
          </w:p>
        </w:tc>
      </w:tr>
      <w:tr w:rsidR="00D2400B" w:rsidRPr="00160D69" w:rsidTr="00DB3DFE">
        <w:trPr>
          <w:gridAfter w:val="1"/>
          <w:wAfter w:w="24" w:type="dxa"/>
          <w:jc w:val="center"/>
        </w:trPr>
        <w:tc>
          <w:tcPr>
            <w:tcW w:w="4941" w:type="dxa"/>
          </w:tcPr>
          <w:p w:rsidR="00D2400B" w:rsidRPr="00160D69" w:rsidRDefault="00D2400B" w:rsidP="009A2800">
            <w:pPr>
              <w:spacing w:line="240" w:lineRule="auto"/>
            </w:pPr>
            <w:r w:rsidRPr="00160D69">
              <w:t>Trade and other receivables</w:t>
            </w:r>
          </w:p>
        </w:tc>
        <w:tc>
          <w:tcPr>
            <w:tcW w:w="1464" w:type="dxa"/>
            <w:gridSpan w:val="2"/>
          </w:tcPr>
          <w:p w:rsidR="00D2400B" w:rsidRPr="00160D69" w:rsidRDefault="00D2400B" w:rsidP="0078384F">
            <w:pPr>
              <w:spacing w:line="240" w:lineRule="auto"/>
              <w:jc w:val="center"/>
            </w:pPr>
            <w:r w:rsidRPr="00160D69">
              <w:t>7</w:t>
            </w:r>
          </w:p>
        </w:tc>
        <w:tc>
          <w:tcPr>
            <w:tcW w:w="1316" w:type="dxa"/>
            <w:gridSpan w:val="2"/>
            <w:tcBorders>
              <w:bottom w:val="single" w:sz="4" w:space="0" w:color="auto"/>
            </w:tcBorders>
          </w:tcPr>
          <w:p w:rsidR="00D2400B" w:rsidRPr="00160D69" w:rsidRDefault="00D2400B" w:rsidP="0078384F">
            <w:pPr>
              <w:spacing w:line="240" w:lineRule="auto"/>
              <w:jc w:val="right"/>
              <w:rPr>
                <w:sz w:val="24"/>
                <w:szCs w:val="24"/>
              </w:rPr>
            </w:pPr>
            <w:r>
              <w:t>101,334</w:t>
            </w:r>
          </w:p>
        </w:tc>
        <w:tc>
          <w:tcPr>
            <w:tcW w:w="1464" w:type="dxa"/>
            <w:tcBorders>
              <w:bottom w:val="single" w:sz="4" w:space="0" w:color="auto"/>
            </w:tcBorders>
          </w:tcPr>
          <w:p w:rsidR="00D2400B" w:rsidRPr="00160D69" w:rsidRDefault="00D2400B" w:rsidP="0078384F">
            <w:pPr>
              <w:spacing w:line="240" w:lineRule="auto"/>
              <w:jc w:val="right"/>
              <w:rPr>
                <w:sz w:val="24"/>
                <w:szCs w:val="24"/>
              </w:rPr>
            </w:pPr>
            <w:r w:rsidRPr="00160D69">
              <w:t>124,573</w:t>
            </w:r>
          </w:p>
        </w:tc>
      </w:tr>
      <w:tr w:rsidR="00D2400B" w:rsidRPr="00160D69" w:rsidTr="00DB3DFE">
        <w:trPr>
          <w:gridAfter w:val="1"/>
          <w:wAfter w:w="24" w:type="dxa"/>
          <w:jc w:val="center"/>
        </w:trPr>
        <w:tc>
          <w:tcPr>
            <w:tcW w:w="4941" w:type="dxa"/>
          </w:tcPr>
          <w:p w:rsidR="00D2400B" w:rsidRPr="000C3602" w:rsidRDefault="000C3602" w:rsidP="009A2800">
            <w:pPr>
              <w:spacing w:line="240" w:lineRule="auto"/>
              <w:rPr>
                <w:b/>
              </w:rPr>
            </w:pPr>
            <w:r w:rsidRPr="000C3602">
              <w:rPr>
                <w:b/>
              </w:rPr>
              <w:t>Total Trade and Other Receivables</w:t>
            </w:r>
          </w:p>
        </w:tc>
        <w:tc>
          <w:tcPr>
            <w:tcW w:w="1464" w:type="dxa"/>
            <w:gridSpan w:val="2"/>
          </w:tcPr>
          <w:p w:rsidR="00D2400B" w:rsidRPr="00160D69" w:rsidRDefault="00D2400B" w:rsidP="0078384F">
            <w:pPr>
              <w:spacing w:line="240" w:lineRule="auto"/>
              <w:jc w:val="center"/>
            </w:pPr>
          </w:p>
        </w:tc>
        <w:tc>
          <w:tcPr>
            <w:tcW w:w="1316" w:type="dxa"/>
            <w:gridSpan w:val="2"/>
            <w:tcBorders>
              <w:top w:val="single" w:sz="4" w:space="0" w:color="auto"/>
              <w:bottom w:val="double" w:sz="4" w:space="0" w:color="auto"/>
            </w:tcBorders>
          </w:tcPr>
          <w:p w:rsidR="00D2400B" w:rsidRPr="00160D69" w:rsidRDefault="00D2400B" w:rsidP="000C3602">
            <w:pPr>
              <w:spacing w:after="60" w:line="240" w:lineRule="auto"/>
              <w:jc w:val="right"/>
            </w:pPr>
            <w:r>
              <w:t>7,688,367</w:t>
            </w:r>
          </w:p>
        </w:tc>
        <w:tc>
          <w:tcPr>
            <w:tcW w:w="1464" w:type="dxa"/>
            <w:tcBorders>
              <w:top w:val="single" w:sz="4" w:space="0" w:color="auto"/>
              <w:bottom w:val="double" w:sz="4" w:space="0" w:color="auto"/>
            </w:tcBorders>
          </w:tcPr>
          <w:p w:rsidR="00D2400B" w:rsidRPr="00160D69" w:rsidRDefault="00D2400B" w:rsidP="000C3602">
            <w:pPr>
              <w:spacing w:after="60" w:line="240" w:lineRule="auto"/>
              <w:jc w:val="right"/>
            </w:pPr>
            <w:r w:rsidRPr="00160D69">
              <w:t>8,308,568</w:t>
            </w:r>
          </w:p>
        </w:tc>
      </w:tr>
      <w:tr w:rsidR="00D2400B" w:rsidRPr="00160D69" w:rsidTr="00DB3DFE">
        <w:trPr>
          <w:gridAfter w:val="1"/>
          <w:wAfter w:w="24" w:type="dxa"/>
          <w:jc w:val="center"/>
        </w:trPr>
        <w:tc>
          <w:tcPr>
            <w:tcW w:w="4941" w:type="dxa"/>
          </w:tcPr>
          <w:p w:rsidR="00D2400B" w:rsidRPr="00160D69" w:rsidRDefault="00D2400B" w:rsidP="009A2800">
            <w:pPr>
              <w:spacing w:line="240" w:lineRule="auto"/>
              <w:rPr>
                <w:b/>
              </w:rPr>
            </w:pPr>
            <w:r w:rsidRPr="00160D69">
              <w:rPr>
                <w:b/>
              </w:rPr>
              <w:t>Financial Liabilities</w:t>
            </w:r>
          </w:p>
        </w:tc>
        <w:tc>
          <w:tcPr>
            <w:tcW w:w="1464" w:type="dxa"/>
            <w:gridSpan w:val="2"/>
          </w:tcPr>
          <w:p w:rsidR="00D2400B" w:rsidRPr="00160D69" w:rsidRDefault="00D2400B" w:rsidP="0078384F">
            <w:pPr>
              <w:spacing w:line="240" w:lineRule="auto"/>
              <w:jc w:val="center"/>
              <w:rPr>
                <w:b/>
              </w:rPr>
            </w:pPr>
          </w:p>
        </w:tc>
        <w:tc>
          <w:tcPr>
            <w:tcW w:w="1316" w:type="dxa"/>
            <w:gridSpan w:val="2"/>
            <w:tcBorders>
              <w:top w:val="double" w:sz="4" w:space="0" w:color="auto"/>
            </w:tcBorders>
          </w:tcPr>
          <w:p w:rsidR="00D2400B" w:rsidRPr="00160D69" w:rsidRDefault="00D2400B" w:rsidP="0078384F">
            <w:pPr>
              <w:spacing w:line="240" w:lineRule="auto"/>
              <w:jc w:val="right"/>
              <w:rPr>
                <w:b/>
              </w:rPr>
            </w:pPr>
          </w:p>
        </w:tc>
        <w:tc>
          <w:tcPr>
            <w:tcW w:w="1464" w:type="dxa"/>
            <w:tcBorders>
              <w:top w:val="double" w:sz="4" w:space="0" w:color="auto"/>
            </w:tcBorders>
          </w:tcPr>
          <w:p w:rsidR="00D2400B" w:rsidRPr="00160D69" w:rsidRDefault="00D2400B" w:rsidP="0078384F">
            <w:pPr>
              <w:spacing w:line="240" w:lineRule="auto"/>
              <w:jc w:val="right"/>
              <w:rPr>
                <w:b/>
              </w:rPr>
            </w:pPr>
          </w:p>
        </w:tc>
      </w:tr>
      <w:tr w:rsidR="000C3602" w:rsidRPr="00160D69" w:rsidTr="00DB3DFE">
        <w:trPr>
          <w:jc w:val="center"/>
        </w:trPr>
        <w:tc>
          <w:tcPr>
            <w:tcW w:w="4941" w:type="dxa"/>
          </w:tcPr>
          <w:p w:rsidR="000C3602" w:rsidRPr="00160D69" w:rsidRDefault="000C3602" w:rsidP="009A2800">
            <w:pPr>
              <w:spacing w:line="240" w:lineRule="auto"/>
            </w:pPr>
            <w:r w:rsidRPr="00160D69">
              <w:t>Financial liabilities at amortised cost</w:t>
            </w:r>
          </w:p>
        </w:tc>
        <w:tc>
          <w:tcPr>
            <w:tcW w:w="1377" w:type="dxa"/>
          </w:tcPr>
          <w:p w:rsidR="000C3602" w:rsidRPr="00160D69" w:rsidRDefault="000C3602" w:rsidP="0078384F">
            <w:pPr>
              <w:spacing w:line="240" w:lineRule="auto"/>
              <w:jc w:val="center"/>
            </w:pPr>
            <w:r>
              <w:t>10</w:t>
            </w:r>
          </w:p>
        </w:tc>
        <w:tc>
          <w:tcPr>
            <w:tcW w:w="1390" w:type="dxa"/>
            <w:gridSpan w:val="2"/>
            <w:tcBorders>
              <w:bottom w:val="single" w:sz="4" w:space="0" w:color="auto"/>
            </w:tcBorders>
          </w:tcPr>
          <w:p w:rsidR="000C3602" w:rsidRPr="00160D69" w:rsidRDefault="000C3602" w:rsidP="00DB3DFE">
            <w:pPr>
              <w:spacing w:after="60" w:line="240" w:lineRule="auto"/>
              <w:jc w:val="right"/>
              <w:rPr>
                <w:sz w:val="24"/>
                <w:szCs w:val="24"/>
              </w:rPr>
            </w:pPr>
            <w:r>
              <w:t>128,786</w:t>
            </w:r>
          </w:p>
        </w:tc>
        <w:tc>
          <w:tcPr>
            <w:tcW w:w="1501" w:type="dxa"/>
            <w:gridSpan w:val="3"/>
            <w:tcBorders>
              <w:bottom w:val="single" w:sz="4" w:space="0" w:color="auto"/>
            </w:tcBorders>
          </w:tcPr>
          <w:p w:rsidR="000C3602" w:rsidRPr="00160D69" w:rsidRDefault="000C3602" w:rsidP="00134384">
            <w:pPr>
              <w:spacing w:after="60" w:line="240" w:lineRule="auto"/>
              <w:jc w:val="right"/>
              <w:rPr>
                <w:sz w:val="24"/>
                <w:szCs w:val="24"/>
              </w:rPr>
            </w:pPr>
            <w:r w:rsidRPr="00160D69">
              <w:t>276,252</w:t>
            </w:r>
          </w:p>
        </w:tc>
      </w:tr>
      <w:tr w:rsidR="000C3602" w:rsidRPr="00160D69" w:rsidTr="00DB3DFE">
        <w:trPr>
          <w:jc w:val="center"/>
        </w:trPr>
        <w:tc>
          <w:tcPr>
            <w:tcW w:w="4941" w:type="dxa"/>
          </w:tcPr>
          <w:p w:rsidR="000C3602" w:rsidRPr="000C3602" w:rsidRDefault="000C3602" w:rsidP="009A2800">
            <w:pPr>
              <w:spacing w:line="240" w:lineRule="auto"/>
              <w:rPr>
                <w:b/>
                <w:bCs/>
              </w:rPr>
            </w:pPr>
            <w:r w:rsidRPr="000C3602">
              <w:rPr>
                <w:b/>
                <w:bCs/>
              </w:rPr>
              <w:t>Total Trade and Other Payables</w:t>
            </w:r>
          </w:p>
        </w:tc>
        <w:tc>
          <w:tcPr>
            <w:tcW w:w="1377" w:type="dxa"/>
          </w:tcPr>
          <w:p w:rsidR="000C3602" w:rsidRPr="00160D69" w:rsidRDefault="000C3602" w:rsidP="0078384F">
            <w:pPr>
              <w:spacing w:line="240" w:lineRule="auto"/>
              <w:jc w:val="center"/>
              <w:rPr>
                <w:sz w:val="24"/>
                <w:szCs w:val="24"/>
              </w:rPr>
            </w:pPr>
          </w:p>
        </w:tc>
        <w:tc>
          <w:tcPr>
            <w:tcW w:w="1390" w:type="dxa"/>
            <w:gridSpan w:val="2"/>
            <w:tcBorders>
              <w:top w:val="single" w:sz="4" w:space="0" w:color="auto"/>
              <w:bottom w:val="double" w:sz="4" w:space="0" w:color="auto"/>
            </w:tcBorders>
          </w:tcPr>
          <w:p w:rsidR="000C3602" w:rsidRPr="00160D69" w:rsidRDefault="000C3602" w:rsidP="000C3602">
            <w:pPr>
              <w:spacing w:after="60" w:line="240" w:lineRule="auto"/>
              <w:jc w:val="right"/>
              <w:rPr>
                <w:sz w:val="24"/>
                <w:szCs w:val="24"/>
              </w:rPr>
            </w:pPr>
            <w:r>
              <w:t>128,786</w:t>
            </w:r>
          </w:p>
        </w:tc>
        <w:tc>
          <w:tcPr>
            <w:tcW w:w="1501" w:type="dxa"/>
            <w:gridSpan w:val="3"/>
            <w:tcBorders>
              <w:top w:val="single" w:sz="4" w:space="0" w:color="auto"/>
              <w:bottom w:val="double" w:sz="4" w:space="0" w:color="auto"/>
            </w:tcBorders>
          </w:tcPr>
          <w:p w:rsidR="000C3602" w:rsidRPr="00160D69" w:rsidRDefault="000C3602" w:rsidP="000C3602">
            <w:pPr>
              <w:spacing w:after="60" w:line="240" w:lineRule="auto"/>
              <w:jc w:val="right"/>
              <w:rPr>
                <w:sz w:val="24"/>
                <w:szCs w:val="24"/>
              </w:rPr>
            </w:pPr>
            <w:r w:rsidRPr="00160D69">
              <w:t>276,252</w:t>
            </w:r>
          </w:p>
        </w:tc>
      </w:tr>
    </w:tbl>
    <w:p w:rsidR="00D2400B" w:rsidRPr="00F30B78" w:rsidRDefault="00D2400B" w:rsidP="002A1136">
      <w:pPr>
        <w:spacing w:before="140"/>
        <w:rPr>
          <w:b/>
        </w:rPr>
      </w:pPr>
      <w:r w:rsidRPr="002A1136">
        <w:rPr>
          <w:b/>
        </w:rPr>
        <w:t>Financial Risk Management Policies</w:t>
      </w:r>
    </w:p>
    <w:p w:rsidR="00D2400B" w:rsidRPr="00117C87" w:rsidRDefault="00D2400B" w:rsidP="002A1136">
      <w:r w:rsidRPr="00117C87">
        <w:t>Consisting of senior committee members, the finance committee’s overall risk management strategy seeks to assist the company in meeting its financ</w:t>
      </w:r>
      <w:r>
        <w:t xml:space="preserve">ial targets, whilst minimizing </w:t>
      </w:r>
      <w:r w:rsidRPr="00117C87">
        <w:t>potential adverse effects on financial performance. Risk ma</w:t>
      </w:r>
      <w:r>
        <w:t xml:space="preserve">nagement policies are approved </w:t>
      </w:r>
      <w:r w:rsidRPr="00117C87">
        <w:t>and reviewed by the finance committee on regular basis. Thes</w:t>
      </w:r>
      <w:r>
        <w:t xml:space="preserve">e include credit risk policies </w:t>
      </w:r>
      <w:r w:rsidRPr="00117C87">
        <w:t>and</w:t>
      </w:r>
      <w:r w:rsidR="00467844">
        <w:t xml:space="preserve"> future cash flow requirements.</w:t>
      </w:r>
    </w:p>
    <w:p w:rsidR="00D2400B" w:rsidRPr="00467844" w:rsidRDefault="00D2400B" w:rsidP="002A1136">
      <w:pPr>
        <w:tabs>
          <w:tab w:val="left" w:pos="1134"/>
        </w:tabs>
        <w:rPr>
          <w:b/>
        </w:rPr>
      </w:pPr>
      <w:r w:rsidRPr="00467844">
        <w:rPr>
          <w:b/>
        </w:rPr>
        <w:t>Specific Financial Risk Exposures and Management</w:t>
      </w:r>
    </w:p>
    <w:p w:rsidR="00D2400B" w:rsidRPr="00467844" w:rsidRDefault="00D2400B" w:rsidP="002A1136">
      <w:r w:rsidRPr="00467844">
        <w:t>The main risks the company is exposed to through its financial instruments are interest rate risk, liquidity risk, credit risk and equity price risk.</w:t>
      </w:r>
    </w:p>
    <w:p w:rsidR="00D2400B" w:rsidRPr="00117C87" w:rsidRDefault="00D2400B" w:rsidP="002A1136">
      <w:pPr>
        <w:pStyle w:val="ListParagraph"/>
        <w:numPr>
          <w:ilvl w:val="0"/>
          <w:numId w:val="26"/>
        </w:numPr>
        <w:ind w:left="720"/>
      </w:pPr>
      <w:r w:rsidRPr="00117C87">
        <w:t xml:space="preserve">Interest rate risk </w:t>
      </w:r>
    </w:p>
    <w:p w:rsidR="00D2400B" w:rsidRPr="00117C87" w:rsidRDefault="00D2400B" w:rsidP="002A1136">
      <w:pPr>
        <w:pStyle w:val="ListParagraph"/>
      </w:pPr>
      <w:r w:rsidRPr="00117C87">
        <w:t>The entity is not exposed to interest rate risk in relation to debt. It is only exposed to fluctuation on interest rates on interest bearing assets.</w:t>
      </w:r>
    </w:p>
    <w:p w:rsidR="00D2400B" w:rsidRPr="00117C87" w:rsidRDefault="00D2400B" w:rsidP="002A1136">
      <w:pPr>
        <w:pStyle w:val="ListParagraph"/>
        <w:numPr>
          <w:ilvl w:val="0"/>
          <w:numId w:val="26"/>
        </w:numPr>
        <w:ind w:left="720"/>
      </w:pPr>
      <w:r w:rsidRPr="00117C87">
        <w:t>Foreign currency risk</w:t>
      </w:r>
    </w:p>
    <w:p w:rsidR="00D2400B" w:rsidRPr="00117C87" w:rsidRDefault="00D2400B" w:rsidP="002A1136">
      <w:pPr>
        <w:pStyle w:val="ListParagraph"/>
      </w:pPr>
      <w:r w:rsidRPr="00117C87">
        <w:t>The entity is not exposed to fluctuations in foreign currencies.</w:t>
      </w:r>
    </w:p>
    <w:p w:rsidR="00D2400B" w:rsidRPr="00117C87" w:rsidRDefault="00D2400B" w:rsidP="002A1136">
      <w:pPr>
        <w:pStyle w:val="ListParagraph"/>
        <w:numPr>
          <w:ilvl w:val="0"/>
          <w:numId w:val="26"/>
        </w:numPr>
        <w:ind w:left="720"/>
      </w:pPr>
      <w:r w:rsidRPr="00117C87">
        <w:t>Liquidity risk</w:t>
      </w:r>
    </w:p>
    <w:p w:rsidR="002A1136" w:rsidRDefault="00D2400B" w:rsidP="002A1136">
      <w:pPr>
        <w:pStyle w:val="ListParagraph"/>
      </w:pPr>
      <w:r w:rsidRPr="00117C87">
        <w:t>The entity manages liquidity risk by monitoring forecas</w:t>
      </w:r>
      <w:r>
        <w:t xml:space="preserve">t cash flows and ensuring that </w:t>
      </w:r>
      <w:r w:rsidRPr="00117C87">
        <w:t xml:space="preserve">adequate liquid cash assets are maintained. </w:t>
      </w:r>
    </w:p>
    <w:p w:rsidR="00D2400B" w:rsidRDefault="002A1136" w:rsidP="001F30B3">
      <w:pPr>
        <w:spacing w:before="1200"/>
        <w:jc w:val="center"/>
      </w:pPr>
      <w:r w:rsidRPr="002A1136">
        <w:rPr>
          <w:i/>
        </w:rPr>
        <w:t>These notes form part of the financial statements</w:t>
      </w:r>
      <w:r w:rsidRPr="002A1136">
        <w:rPr>
          <w:rFonts w:ascii="Times New Roman" w:hAnsi="Times New Roman"/>
          <w:i/>
          <w:iCs/>
          <w:color w:val="000000"/>
          <w:sz w:val="16"/>
          <w:szCs w:val="16"/>
        </w:rPr>
        <w:br w:type="page"/>
      </w:r>
    </w:p>
    <w:p w:rsidR="002A1136" w:rsidRPr="002A1136" w:rsidRDefault="002A1136" w:rsidP="002A1136">
      <w:pPr>
        <w:jc w:val="both"/>
        <w:rPr>
          <w:sz w:val="48"/>
        </w:rPr>
      </w:pPr>
      <w:r w:rsidRPr="002A1136">
        <w:rPr>
          <w:sz w:val="48"/>
        </w:rPr>
        <w:lastRenderedPageBreak/>
        <w:t>Notes to the Financial Statements</w:t>
      </w:r>
    </w:p>
    <w:p w:rsidR="002A1136" w:rsidRDefault="002A1136" w:rsidP="002A1136">
      <w:pPr>
        <w:jc w:val="both"/>
        <w:rPr>
          <w:b/>
        </w:rPr>
      </w:pPr>
      <w:r w:rsidRPr="002A1136">
        <w:rPr>
          <w:b/>
        </w:rPr>
        <w:t>For the Year ended 30 June 2013</w:t>
      </w:r>
    </w:p>
    <w:p w:rsidR="002A1136" w:rsidRPr="00FC5AAD" w:rsidRDefault="002A1136" w:rsidP="002A1136">
      <w:pPr>
        <w:widowControl w:val="0"/>
        <w:autoSpaceDE w:val="0"/>
        <w:autoSpaceDN w:val="0"/>
        <w:adjustRightInd w:val="0"/>
        <w:spacing w:before="240"/>
        <w:rPr>
          <w:rFonts w:cstheme="minorHAnsi"/>
          <w:sz w:val="32"/>
        </w:rPr>
      </w:pPr>
      <w:r w:rsidRPr="00FC5AAD">
        <w:rPr>
          <w:rFonts w:cstheme="minorHAnsi"/>
          <w:sz w:val="32"/>
        </w:rPr>
        <w:t>14.</w:t>
      </w:r>
      <w:r>
        <w:rPr>
          <w:rFonts w:cstheme="minorHAnsi"/>
          <w:sz w:val="32"/>
        </w:rPr>
        <w:t xml:space="preserve"> </w:t>
      </w:r>
      <w:r w:rsidRPr="00FC5AAD">
        <w:rPr>
          <w:rFonts w:cstheme="minorHAnsi"/>
          <w:sz w:val="32"/>
        </w:rPr>
        <w:t xml:space="preserve"> Financial Risk </w:t>
      </w:r>
      <w:r>
        <w:rPr>
          <w:rFonts w:cstheme="minorHAnsi"/>
          <w:sz w:val="32"/>
        </w:rPr>
        <w:t>Management (c</w:t>
      </w:r>
      <w:r w:rsidRPr="00FC5AAD">
        <w:rPr>
          <w:rFonts w:cstheme="minorHAnsi"/>
          <w:sz w:val="32"/>
        </w:rPr>
        <w:t>ontinued)</w:t>
      </w:r>
    </w:p>
    <w:p w:rsidR="00D2400B" w:rsidRPr="00117C87" w:rsidRDefault="00D2400B" w:rsidP="002A1136">
      <w:pPr>
        <w:pStyle w:val="ListParagraph"/>
        <w:numPr>
          <w:ilvl w:val="0"/>
          <w:numId w:val="26"/>
        </w:numPr>
        <w:ind w:left="720"/>
      </w:pPr>
      <w:r w:rsidRPr="00117C87">
        <w:t>Credit risk</w:t>
      </w:r>
    </w:p>
    <w:p w:rsidR="00D2400B" w:rsidRPr="00117C87" w:rsidRDefault="00D2400B" w:rsidP="002A1136">
      <w:pPr>
        <w:pStyle w:val="ListParagraph"/>
      </w:pPr>
      <w:r w:rsidRPr="00117C87">
        <w:t>The entity is not exposed to credit risk</w:t>
      </w:r>
    </w:p>
    <w:p w:rsidR="00D2400B" w:rsidRPr="00117C87" w:rsidRDefault="00D2400B" w:rsidP="002A1136">
      <w:pPr>
        <w:pStyle w:val="ListParagraph"/>
        <w:numPr>
          <w:ilvl w:val="0"/>
          <w:numId w:val="26"/>
        </w:numPr>
        <w:ind w:left="720"/>
      </w:pPr>
      <w:r w:rsidRPr="00117C87">
        <w:t>Price risk</w:t>
      </w:r>
    </w:p>
    <w:p w:rsidR="00D2400B" w:rsidRPr="00117C87" w:rsidRDefault="00D2400B" w:rsidP="002A1136">
      <w:pPr>
        <w:pStyle w:val="ListParagraph"/>
      </w:pPr>
      <w:r w:rsidRPr="00117C87">
        <w:t>The company is exposed to securities price risk on investments held for trading or for medium to longer terms. Such risk is managed through diversification of investments across a range of managed asset classes such as listed share and unit trusts, other managed funds.</w:t>
      </w:r>
    </w:p>
    <w:p w:rsidR="00D2400B" w:rsidRPr="00117C87" w:rsidRDefault="00D2400B" w:rsidP="002A1136">
      <w:pPr>
        <w:pStyle w:val="ListParagraph"/>
        <w:numPr>
          <w:ilvl w:val="0"/>
          <w:numId w:val="26"/>
        </w:numPr>
        <w:ind w:left="720"/>
      </w:pPr>
      <w:r w:rsidRPr="00117C87">
        <w:t>Net Fair Values</w:t>
      </w:r>
    </w:p>
    <w:p w:rsidR="00D2400B" w:rsidRPr="00117C87" w:rsidRDefault="00D2400B" w:rsidP="002A1136">
      <w:pPr>
        <w:pStyle w:val="ListParagraph"/>
      </w:pPr>
      <w:proofErr w:type="gramStart"/>
      <w:r w:rsidRPr="00117C87">
        <w:t>Fair value estimation</w:t>
      </w:r>
      <w:r w:rsidR="002A1136">
        <w:t>.</w:t>
      </w:r>
      <w:proofErr w:type="gramEnd"/>
    </w:p>
    <w:p w:rsidR="00D2400B" w:rsidRPr="00117C87" w:rsidRDefault="00D2400B" w:rsidP="002A1136">
      <w:r w:rsidRPr="00117C87">
        <w:t xml:space="preserve">The fair values of financial assets and financial liabilities are equal </w:t>
      </w:r>
      <w:r>
        <w:t xml:space="preserve">to their carrying value in the </w:t>
      </w:r>
      <w:r w:rsidRPr="00117C87">
        <w:t>balance sheet.</w:t>
      </w:r>
    </w:p>
    <w:p w:rsidR="00D2400B" w:rsidRPr="00117C87" w:rsidRDefault="00D2400B" w:rsidP="002A1136">
      <w:pPr>
        <w:rPr>
          <w:highlight w:val="yellow"/>
        </w:rPr>
      </w:pPr>
      <w:r w:rsidRPr="00117C87">
        <w:t>The fair values have been determined on the following methodologies:</w:t>
      </w:r>
    </w:p>
    <w:p w:rsidR="00D2400B" w:rsidRPr="00467844" w:rsidRDefault="00D2400B" w:rsidP="002A1136">
      <w:pPr>
        <w:pStyle w:val="ListParagraph"/>
        <w:numPr>
          <w:ilvl w:val="0"/>
          <w:numId w:val="27"/>
        </w:numPr>
        <w:ind w:left="567"/>
        <w:rPr>
          <w:sz w:val="24"/>
          <w:szCs w:val="24"/>
        </w:rPr>
      </w:pPr>
      <w:r w:rsidRPr="000731E9">
        <w:t xml:space="preserve">Cash and cash equivalents, trade and other receivables and trade and other payables are short term instruments in nature whose carrying value is equivalent to fair value. Trade and other </w:t>
      </w:r>
      <w:r>
        <w:t xml:space="preserve">payables </w:t>
      </w:r>
      <w:r w:rsidRPr="000731E9">
        <w:t>exclude amounts provided for relating to annual leave which is not considered a financial instrument.</w:t>
      </w:r>
    </w:p>
    <w:p w:rsidR="00D2400B" w:rsidRPr="00F02A59" w:rsidRDefault="00D2400B" w:rsidP="002A1136">
      <w:pPr>
        <w:pStyle w:val="ListParagraph"/>
        <w:numPr>
          <w:ilvl w:val="0"/>
          <w:numId w:val="27"/>
        </w:numPr>
        <w:ind w:left="567"/>
      </w:pPr>
      <w:r w:rsidRPr="00F02A59">
        <w:t>For listed available-for-sale and held-for-trading financial assets, closing quoted bid prices at reporting date are used.</w:t>
      </w:r>
    </w:p>
    <w:p w:rsidR="00D2400B" w:rsidRPr="00F02A59" w:rsidRDefault="00D2400B" w:rsidP="002A1136">
      <w:pPr>
        <w:pStyle w:val="ListParagraph"/>
        <w:numPr>
          <w:ilvl w:val="0"/>
          <w:numId w:val="27"/>
        </w:numPr>
        <w:spacing w:after="240"/>
        <w:ind w:left="567" w:hanging="357"/>
        <w:contextualSpacing w:val="0"/>
      </w:pPr>
      <w:r w:rsidRPr="00F02A59">
        <w:t>Fair values of held-to-maturity investments are based on quoted market prices at reporting date.</w:t>
      </w:r>
    </w:p>
    <w:p w:rsidR="00D2400B" w:rsidRPr="00F02A59" w:rsidRDefault="00D2400B" w:rsidP="002A1136">
      <w:pPr>
        <w:pStyle w:val="ListParagraph"/>
        <w:numPr>
          <w:ilvl w:val="0"/>
          <w:numId w:val="26"/>
        </w:numPr>
        <w:ind w:left="570"/>
      </w:pPr>
      <w:r w:rsidRPr="00F02A59">
        <w:t>Sensitivity analysis:</w:t>
      </w:r>
    </w:p>
    <w:p w:rsidR="00D2400B" w:rsidRDefault="00D2400B" w:rsidP="002A1136">
      <w:pPr>
        <w:ind w:left="559"/>
      </w:pPr>
      <w:r w:rsidRPr="00796E81">
        <w:t>The following table illustrates sensitivities to the company’s exposures to changes in interest rates and equity prices. The table indicates the impact on how profit and equity values reported at balance date would have been affected by changes in the relevant risk variable that management considers to be reasonably possible. These sensitivities assume that the movement in a particular variable is</w:t>
      </w:r>
      <w:r>
        <w:t xml:space="preserve"> </w:t>
      </w:r>
      <w:r w:rsidRPr="00796E81">
        <w:t>independent of other variables.</w:t>
      </w:r>
    </w:p>
    <w:p w:rsidR="008F4A4A" w:rsidRDefault="008F4A4A" w:rsidP="00712543">
      <w:pPr>
        <w:spacing w:before="3480"/>
        <w:jc w:val="center"/>
      </w:pPr>
      <w:r w:rsidRPr="002A1136">
        <w:rPr>
          <w:i/>
        </w:rPr>
        <w:t>These notes form part of the financial statements</w:t>
      </w:r>
      <w:r w:rsidRPr="002A1136">
        <w:rPr>
          <w:rFonts w:ascii="Times New Roman" w:hAnsi="Times New Roman"/>
          <w:i/>
          <w:iCs/>
          <w:color w:val="000000"/>
          <w:sz w:val="16"/>
          <w:szCs w:val="16"/>
        </w:rPr>
        <w:br w:type="page"/>
      </w:r>
    </w:p>
    <w:p w:rsidR="008F4A4A" w:rsidRPr="002A1136" w:rsidRDefault="008F4A4A" w:rsidP="008F4A4A">
      <w:pPr>
        <w:jc w:val="both"/>
        <w:rPr>
          <w:sz w:val="48"/>
        </w:rPr>
      </w:pPr>
      <w:r w:rsidRPr="002A1136">
        <w:rPr>
          <w:sz w:val="48"/>
        </w:rPr>
        <w:lastRenderedPageBreak/>
        <w:t>Notes to the Financial Statements</w:t>
      </w:r>
    </w:p>
    <w:p w:rsidR="008F4A4A" w:rsidRDefault="008F4A4A" w:rsidP="008F4A4A">
      <w:pPr>
        <w:jc w:val="both"/>
        <w:rPr>
          <w:b/>
        </w:rPr>
      </w:pPr>
      <w:r w:rsidRPr="002A1136">
        <w:rPr>
          <w:b/>
        </w:rPr>
        <w:t>For the Year ended 30 June 2013</w:t>
      </w:r>
    </w:p>
    <w:p w:rsidR="008F4A4A" w:rsidRPr="00FC5AAD" w:rsidRDefault="008F4A4A" w:rsidP="008F4A4A">
      <w:pPr>
        <w:widowControl w:val="0"/>
        <w:autoSpaceDE w:val="0"/>
        <w:autoSpaceDN w:val="0"/>
        <w:adjustRightInd w:val="0"/>
        <w:spacing w:before="240"/>
        <w:rPr>
          <w:rFonts w:cstheme="minorHAnsi"/>
          <w:sz w:val="32"/>
        </w:rPr>
      </w:pPr>
      <w:r w:rsidRPr="00FC5AAD">
        <w:rPr>
          <w:rFonts w:cstheme="minorHAnsi"/>
          <w:sz w:val="32"/>
        </w:rPr>
        <w:t>14.</w:t>
      </w:r>
      <w:r>
        <w:rPr>
          <w:rFonts w:cstheme="minorHAnsi"/>
          <w:sz w:val="32"/>
        </w:rPr>
        <w:t xml:space="preserve"> </w:t>
      </w:r>
      <w:r w:rsidRPr="00FC5AAD">
        <w:rPr>
          <w:rFonts w:cstheme="minorHAnsi"/>
          <w:sz w:val="32"/>
        </w:rPr>
        <w:t xml:space="preserve"> Financial Risk </w:t>
      </w:r>
      <w:r>
        <w:rPr>
          <w:rFonts w:cstheme="minorHAnsi"/>
          <w:sz w:val="32"/>
        </w:rPr>
        <w:t>Management (c</w:t>
      </w:r>
      <w:r w:rsidRPr="00FC5AAD">
        <w:rPr>
          <w:rFonts w:cstheme="minorHAnsi"/>
          <w:sz w:val="32"/>
        </w:rPr>
        <w:t>ontinued)</w:t>
      </w:r>
    </w:p>
    <w:tbl>
      <w:tblPr>
        <w:tblStyle w:val="TableGrid"/>
        <w:tblW w:w="91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ensitivity analysis"/>
      </w:tblPr>
      <w:tblGrid>
        <w:gridCol w:w="5508"/>
        <w:gridCol w:w="1910"/>
        <w:gridCol w:w="1767"/>
      </w:tblGrid>
      <w:tr w:rsidR="00D2400B" w:rsidRPr="009B1FC1" w:rsidTr="002A1136">
        <w:trPr>
          <w:cnfStyle w:val="100000000000" w:firstRow="1" w:lastRow="0" w:firstColumn="0" w:lastColumn="0" w:oddVBand="0" w:evenVBand="0" w:oddHBand="0" w:evenHBand="0" w:firstRowFirstColumn="0" w:firstRowLastColumn="0" w:lastRowFirstColumn="0" w:lastRowLastColumn="0"/>
          <w:tblHeader/>
          <w:jc w:val="center"/>
        </w:trPr>
        <w:tc>
          <w:tcPr>
            <w:tcW w:w="5508" w:type="dxa"/>
            <w:vAlign w:val="bottom"/>
          </w:tcPr>
          <w:p w:rsidR="00D2400B" w:rsidRPr="009B1FC1" w:rsidRDefault="00D2400B" w:rsidP="002A1136">
            <w:pPr>
              <w:ind w:left="567"/>
            </w:pPr>
          </w:p>
        </w:tc>
        <w:tc>
          <w:tcPr>
            <w:tcW w:w="1910" w:type="dxa"/>
            <w:vAlign w:val="bottom"/>
          </w:tcPr>
          <w:p w:rsidR="00D2400B" w:rsidRPr="009B1FC1" w:rsidRDefault="00D2400B" w:rsidP="002A1136">
            <w:pPr>
              <w:ind w:left="567"/>
              <w:jc w:val="right"/>
            </w:pPr>
            <w:r w:rsidRPr="009B1FC1">
              <w:t>Profit</w:t>
            </w:r>
            <w:r w:rsidR="00467844">
              <w:br/>
              <w:t>$</w:t>
            </w:r>
          </w:p>
        </w:tc>
        <w:tc>
          <w:tcPr>
            <w:tcW w:w="1767" w:type="dxa"/>
            <w:vAlign w:val="bottom"/>
          </w:tcPr>
          <w:p w:rsidR="00D2400B" w:rsidRPr="009B1FC1" w:rsidRDefault="00D2400B" w:rsidP="002A1136">
            <w:pPr>
              <w:ind w:left="567"/>
              <w:jc w:val="right"/>
            </w:pPr>
            <w:r w:rsidRPr="009B1FC1">
              <w:t>Equity</w:t>
            </w:r>
            <w:r w:rsidR="00467844">
              <w:br/>
              <w:t>$</w:t>
            </w:r>
          </w:p>
        </w:tc>
      </w:tr>
      <w:tr w:rsidR="00D2400B" w:rsidRPr="009B1FC1" w:rsidTr="002A1136">
        <w:trPr>
          <w:jc w:val="center"/>
        </w:trPr>
        <w:tc>
          <w:tcPr>
            <w:tcW w:w="5508" w:type="dxa"/>
            <w:vAlign w:val="bottom"/>
          </w:tcPr>
          <w:p w:rsidR="00D2400B" w:rsidRPr="00467844" w:rsidRDefault="00D2400B" w:rsidP="002A1136">
            <w:pPr>
              <w:ind w:left="567"/>
              <w:rPr>
                <w:b/>
              </w:rPr>
            </w:pPr>
            <w:r w:rsidRPr="00467844">
              <w:rPr>
                <w:b/>
              </w:rPr>
              <w:t>Year ended 30 June 2013</w:t>
            </w:r>
          </w:p>
        </w:tc>
        <w:tc>
          <w:tcPr>
            <w:tcW w:w="1910" w:type="dxa"/>
            <w:vAlign w:val="bottom"/>
          </w:tcPr>
          <w:p w:rsidR="00D2400B" w:rsidRPr="00D65BE6" w:rsidRDefault="00D2400B" w:rsidP="002A1136">
            <w:pPr>
              <w:ind w:left="567"/>
              <w:jc w:val="right"/>
            </w:pPr>
          </w:p>
        </w:tc>
        <w:tc>
          <w:tcPr>
            <w:tcW w:w="1767" w:type="dxa"/>
            <w:vAlign w:val="bottom"/>
          </w:tcPr>
          <w:p w:rsidR="00D2400B" w:rsidRPr="00D65BE6" w:rsidRDefault="00D2400B" w:rsidP="002A1136">
            <w:pPr>
              <w:ind w:left="567"/>
              <w:jc w:val="right"/>
            </w:pPr>
          </w:p>
        </w:tc>
      </w:tr>
      <w:tr w:rsidR="00D2400B" w:rsidRPr="009B1FC1" w:rsidTr="002A1136">
        <w:trPr>
          <w:jc w:val="center"/>
        </w:trPr>
        <w:tc>
          <w:tcPr>
            <w:tcW w:w="5508" w:type="dxa"/>
            <w:vAlign w:val="bottom"/>
          </w:tcPr>
          <w:p w:rsidR="00D2400B" w:rsidRPr="00D65BE6" w:rsidRDefault="00D2400B" w:rsidP="002A1136">
            <w:pPr>
              <w:ind w:left="567"/>
            </w:pPr>
            <w:r w:rsidRPr="00D65BE6">
              <w:t>+/- 2% in interest rate</w:t>
            </w:r>
          </w:p>
        </w:tc>
        <w:tc>
          <w:tcPr>
            <w:tcW w:w="1910" w:type="dxa"/>
            <w:vAlign w:val="bottom"/>
          </w:tcPr>
          <w:p w:rsidR="00D2400B" w:rsidRPr="00D65BE6" w:rsidRDefault="00D2400B" w:rsidP="002A1136">
            <w:pPr>
              <w:ind w:left="567"/>
              <w:jc w:val="right"/>
            </w:pPr>
            <w:r>
              <w:t>28,230</w:t>
            </w:r>
          </w:p>
        </w:tc>
        <w:tc>
          <w:tcPr>
            <w:tcW w:w="1767" w:type="dxa"/>
            <w:vAlign w:val="bottom"/>
          </w:tcPr>
          <w:p w:rsidR="00D2400B" w:rsidRPr="00D65BE6" w:rsidRDefault="00D2400B" w:rsidP="002A1136">
            <w:pPr>
              <w:ind w:left="567"/>
              <w:jc w:val="right"/>
            </w:pPr>
            <w:r>
              <w:t>28,230</w:t>
            </w:r>
          </w:p>
        </w:tc>
      </w:tr>
      <w:tr w:rsidR="00D2400B" w:rsidRPr="009B1FC1" w:rsidTr="002A1136">
        <w:trPr>
          <w:jc w:val="center"/>
        </w:trPr>
        <w:tc>
          <w:tcPr>
            <w:tcW w:w="5508" w:type="dxa"/>
            <w:vAlign w:val="bottom"/>
          </w:tcPr>
          <w:p w:rsidR="00D2400B" w:rsidRPr="00B01C65" w:rsidRDefault="00D2400B" w:rsidP="002A1136">
            <w:pPr>
              <w:ind w:left="567"/>
            </w:pPr>
            <w:r w:rsidRPr="00B01C65">
              <w:t>+/- 10% in listed investments</w:t>
            </w:r>
          </w:p>
        </w:tc>
        <w:tc>
          <w:tcPr>
            <w:tcW w:w="1910" w:type="dxa"/>
            <w:vAlign w:val="bottom"/>
          </w:tcPr>
          <w:p w:rsidR="00D2400B" w:rsidRPr="00B01C65" w:rsidRDefault="00D2400B" w:rsidP="002A1136">
            <w:pPr>
              <w:ind w:left="567"/>
              <w:jc w:val="right"/>
            </w:pPr>
            <w:r w:rsidRPr="00B01C65">
              <w:t>617,552</w:t>
            </w:r>
          </w:p>
        </w:tc>
        <w:tc>
          <w:tcPr>
            <w:tcW w:w="1767" w:type="dxa"/>
            <w:vAlign w:val="bottom"/>
          </w:tcPr>
          <w:p w:rsidR="00D2400B" w:rsidRPr="00B01C65" w:rsidRDefault="00D2400B" w:rsidP="002A1136">
            <w:pPr>
              <w:ind w:left="567"/>
              <w:jc w:val="right"/>
            </w:pPr>
            <w:r w:rsidRPr="00B01C65">
              <w:t>617,552</w:t>
            </w:r>
          </w:p>
        </w:tc>
      </w:tr>
      <w:tr w:rsidR="00D2400B" w:rsidRPr="009B1FC1" w:rsidTr="002A1136">
        <w:trPr>
          <w:jc w:val="center"/>
        </w:trPr>
        <w:tc>
          <w:tcPr>
            <w:tcW w:w="5508" w:type="dxa"/>
            <w:vAlign w:val="bottom"/>
          </w:tcPr>
          <w:p w:rsidR="00D2400B" w:rsidRPr="00467844" w:rsidRDefault="00D2400B" w:rsidP="002A1136">
            <w:pPr>
              <w:ind w:left="567"/>
              <w:rPr>
                <w:b/>
              </w:rPr>
            </w:pPr>
            <w:r w:rsidRPr="00467844">
              <w:rPr>
                <w:b/>
              </w:rPr>
              <w:t>Year ended 30 June 2012</w:t>
            </w:r>
          </w:p>
        </w:tc>
        <w:tc>
          <w:tcPr>
            <w:tcW w:w="1910" w:type="dxa"/>
            <w:vAlign w:val="bottom"/>
          </w:tcPr>
          <w:p w:rsidR="00D2400B" w:rsidRPr="00B01C65" w:rsidRDefault="00D2400B" w:rsidP="002A1136">
            <w:pPr>
              <w:ind w:left="567"/>
              <w:jc w:val="right"/>
            </w:pPr>
          </w:p>
        </w:tc>
        <w:tc>
          <w:tcPr>
            <w:tcW w:w="1767" w:type="dxa"/>
            <w:vAlign w:val="bottom"/>
          </w:tcPr>
          <w:p w:rsidR="00D2400B" w:rsidRPr="00B01C65" w:rsidRDefault="00D2400B" w:rsidP="002A1136">
            <w:pPr>
              <w:ind w:left="567"/>
              <w:jc w:val="right"/>
            </w:pPr>
          </w:p>
        </w:tc>
      </w:tr>
      <w:tr w:rsidR="00D2400B" w:rsidRPr="009B1FC1" w:rsidTr="002A1136">
        <w:trPr>
          <w:jc w:val="center"/>
        </w:trPr>
        <w:tc>
          <w:tcPr>
            <w:tcW w:w="5508" w:type="dxa"/>
            <w:vAlign w:val="bottom"/>
          </w:tcPr>
          <w:p w:rsidR="00D2400B" w:rsidRPr="00B01C65" w:rsidRDefault="00D2400B" w:rsidP="002A1136">
            <w:pPr>
              <w:ind w:left="567"/>
            </w:pPr>
            <w:r w:rsidRPr="00B01C65">
              <w:t>+/- 2% in interest rate</w:t>
            </w:r>
          </w:p>
        </w:tc>
        <w:tc>
          <w:tcPr>
            <w:tcW w:w="1910" w:type="dxa"/>
            <w:vAlign w:val="bottom"/>
          </w:tcPr>
          <w:p w:rsidR="00D2400B" w:rsidRPr="00B01C65" w:rsidRDefault="00D2400B" w:rsidP="002A1136">
            <w:pPr>
              <w:ind w:left="567"/>
              <w:jc w:val="right"/>
            </w:pPr>
            <w:r w:rsidRPr="00B01C65">
              <w:t>48,522</w:t>
            </w:r>
          </w:p>
        </w:tc>
        <w:tc>
          <w:tcPr>
            <w:tcW w:w="1767" w:type="dxa"/>
            <w:vAlign w:val="bottom"/>
          </w:tcPr>
          <w:p w:rsidR="00D2400B" w:rsidRPr="00B01C65" w:rsidRDefault="00D2400B" w:rsidP="002A1136">
            <w:pPr>
              <w:ind w:left="567"/>
              <w:jc w:val="right"/>
            </w:pPr>
            <w:r w:rsidRPr="00B01C65">
              <w:t>48,522</w:t>
            </w:r>
          </w:p>
        </w:tc>
      </w:tr>
      <w:tr w:rsidR="00D2400B" w:rsidRPr="009B1FC1" w:rsidTr="002A1136">
        <w:trPr>
          <w:jc w:val="center"/>
        </w:trPr>
        <w:tc>
          <w:tcPr>
            <w:tcW w:w="5508" w:type="dxa"/>
            <w:vAlign w:val="bottom"/>
          </w:tcPr>
          <w:p w:rsidR="00D2400B" w:rsidRPr="00B01C65" w:rsidRDefault="00D2400B" w:rsidP="002A1136">
            <w:pPr>
              <w:ind w:left="567"/>
            </w:pPr>
            <w:r w:rsidRPr="00B01C65">
              <w:t>+/- 10% in listed investments</w:t>
            </w:r>
          </w:p>
        </w:tc>
        <w:tc>
          <w:tcPr>
            <w:tcW w:w="1910" w:type="dxa"/>
            <w:tcBorders>
              <w:bottom w:val="single" w:sz="4" w:space="0" w:color="auto"/>
            </w:tcBorders>
            <w:vAlign w:val="bottom"/>
          </w:tcPr>
          <w:p w:rsidR="00D2400B" w:rsidRPr="00B01C65" w:rsidRDefault="00D2400B" w:rsidP="002A1136">
            <w:pPr>
              <w:ind w:left="567"/>
              <w:jc w:val="right"/>
            </w:pPr>
            <w:r w:rsidRPr="00B01C65">
              <w:t>575,787</w:t>
            </w:r>
          </w:p>
        </w:tc>
        <w:tc>
          <w:tcPr>
            <w:tcW w:w="1767" w:type="dxa"/>
            <w:tcBorders>
              <w:bottom w:val="single" w:sz="4" w:space="0" w:color="auto"/>
            </w:tcBorders>
            <w:vAlign w:val="bottom"/>
          </w:tcPr>
          <w:p w:rsidR="00D2400B" w:rsidRPr="00B01C65" w:rsidRDefault="00D2400B" w:rsidP="002A1136">
            <w:pPr>
              <w:ind w:left="567"/>
              <w:jc w:val="right"/>
            </w:pPr>
            <w:r w:rsidRPr="00B01C65">
              <w:t>575,787</w:t>
            </w:r>
          </w:p>
        </w:tc>
      </w:tr>
    </w:tbl>
    <w:p w:rsidR="00D2400B" w:rsidRPr="00796E81" w:rsidRDefault="00D2400B" w:rsidP="002A1136">
      <w:pPr>
        <w:widowControl w:val="0"/>
        <w:tabs>
          <w:tab w:val="left" w:pos="1176"/>
          <w:tab w:val="left" w:pos="7230"/>
          <w:tab w:val="left" w:pos="9356"/>
        </w:tabs>
        <w:autoSpaceDE w:val="0"/>
        <w:autoSpaceDN w:val="0"/>
        <w:adjustRightInd w:val="0"/>
        <w:spacing w:before="55" w:after="0" w:line="240" w:lineRule="auto"/>
        <w:ind w:left="567" w:right="269"/>
        <w:rPr>
          <w:rFonts w:ascii="Times New Roman" w:hAnsi="Times New Roman"/>
          <w:u w:val="single"/>
        </w:rPr>
      </w:pPr>
    </w:p>
    <w:p w:rsidR="00D2400B" w:rsidRPr="007C6C0F" w:rsidRDefault="00D2400B" w:rsidP="008F4A4A">
      <w:pPr>
        <w:widowControl w:val="0"/>
        <w:autoSpaceDE w:val="0"/>
        <w:autoSpaceDN w:val="0"/>
        <w:adjustRightInd w:val="0"/>
        <w:spacing w:before="55" w:after="240" w:line="240" w:lineRule="auto"/>
        <w:ind w:left="720" w:right="266"/>
        <w:rPr>
          <w:rFonts w:cstheme="minorHAnsi"/>
          <w:highlight w:val="yellow"/>
        </w:rPr>
      </w:pPr>
      <w:r w:rsidRPr="007C6C0F">
        <w:rPr>
          <w:rFonts w:cstheme="minorHAnsi"/>
        </w:rPr>
        <w:t>This sensitivity analysis has been performed on the assumption that all other variables remain unchanged.</w:t>
      </w:r>
    </w:p>
    <w:p w:rsidR="00D2400B" w:rsidRPr="00F104FF" w:rsidRDefault="00EC6D27" w:rsidP="00EC6D27">
      <w:pPr>
        <w:pStyle w:val="Heading2"/>
        <w:rPr>
          <w:b w:val="0"/>
        </w:rPr>
      </w:pPr>
      <w:r>
        <w:rPr>
          <w:b w:val="0"/>
        </w:rPr>
        <w:t xml:space="preserve">15. </w:t>
      </w:r>
      <w:r w:rsidR="007C6C0F" w:rsidRPr="00F104FF">
        <w:rPr>
          <w:b w:val="0"/>
        </w:rPr>
        <w:t>Capital management</w:t>
      </w:r>
    </w:p>
    <w:p w:rsidR="00D2400B" w:rsidRPr="00854907" w:rsidRDefault="00D2400B" w:rsidP="00786E0F">
      <w:r w:rsidRPr="00854907">
        <w:t>Management controls the capital of the entity to ensure that adequate cash flows are generated to fund its</w:t>
      </w:r>
      <w:r>
        <w:t xml:space="preserve"> </w:t>
      </w:r>
      <w:r w:rsidRPr="00854907">
        <w:t>ongoing programs and that returns from investments are maximized. The finance committee ensures that</w:t>
      </w:r>
      <w:r w:rsidRPr="00854907">
        <w:tab/>
        <w:t>overall risk management strategy is in line with this objective.</w:t>
      </w:r>
    </w:p>
    <w:p w:rsidR="00D2400B" w:rsidRPr="00854907" w:rsidRDefault="00D2400B" w:rsidP="00786E0F">
      <w:r w:rsidRPr="00854907">
        <w:t>The finance committee operates under policies approved by the Board</w:t>
      </w:r>
      <w:r>
        <w:t xml:space="preserve"> of Directors. Risk management </w:t>
      </w:r>
      <w:r w:rsidRPr="00854907">
        <w:t>policies are approved and reviewed by the Board on a regular basis.</w:t>
      </w:r>
    </w:p>
    <w:p w:rsidR="00D2400B" w:rsidRPr="00854907" w:rsidRDefault="00D2400B" w:rsidP="00786E0F">
      <w:r w:rsidRPr="00854907">
        <w:t>The entity’s capital consists of cash and cash equivalent assets, supported by financial assets.</w:t>
      </w:r>
    </w:p>
    <w:p w:rsidR="00D2400B" w:rsidRPr="00854907" w:rsidRDefault="00D2400B" w:rsidP="00786E0F">
      <w:r w:rsidRPr="00854907">
        <w:t>Management effectively manages the entity’s capital by assessing the entity’s</w:t>
      </w:r>
      <w:r>
        <w:t xml:space="preserve"> financial risks and responding </w:t>
      </w:r>
      <w:r w:rsidRPr="00854907">
        <w:t>to changes in</w:t>
      </w:r>
      <w:r>
        <w:t xml:space="preserve"> these risks and in the market.</w:t>
      </w:r>
    </w:p>
    <w:p w:rsidR="00D2400B" w:rsidRPr="00854907" w:rsidRDefault="00D2400B" w:rsidP="00786E0F">
      <w:r w:rsidRPr="00854907">
        <w:t xml:space="preserve">There have been no changes to the strategy adopted by management to control </w:t>
      </w:r>
      <w:r>
        <w:t xml:space="preserve">the capital of the entity since </w:t>
      </w:r>
      <w:r w:rsidRPr="00854907">
        <w:t>the previous year. The entity does not have any debt and debt facilities.</w:t>
      </w:r>
    </w:p>
    <w:p w:rsidR="00D2400B" w:rsidRDefault="00D2400B" w:rsidP="00712543">
      <w:pPr>
        <w:spacing w:before="2280"/>
        <w:jc w:val="center"/>
        <w:rPr>
          <w:rFonts w:ascii="Times New Roman" w:hAnsi="Times New Roman"/>
          <w:i/>
          <w:iCs/>
          <w:color w:val="000000"/>
          <w:sz w:val="16"/>
          <w:szCs w:val="16"/>
        </w:rPr>
      </w:pPr>
      <w:r w:rsidRPr="007C6C0F">
        <w:rPr>
          <w:i/>
        </w:rPr>
        <w:t>These notes form part of the financial statements</w:t>
      </w:r>
      <w:r>
        <w:rPr>
          <w:rFonts w:ascii="Times New Roman" w:hAnsi="Times New Roman"/>
          <w:i/>
          <w:iCs/>
          <w:color w:val="000000"/>
          <w:sz w:val="16"/>
          <w:szCs w:val="16"/>
        </w:rPr>
        <w:br w:type="page"/>
      </w:r>
    </w:p>
    <w:p w:rsidR="007C6C0F" w:rsidRPr="00E171F7" w:rsidRDefault="007C6C0F" w:rsidP="00786E0F">
      <w:pPr>
        <w:rPr>
          <w:sz w:val="48"/>
        </w:rPr>
      </w:pPr>
      <w:r w:rsidRPr="00E171F7">
        <w:rPr>
          <w:sz w:val="48"/>
        </w:rPr>
        <w:lastRenderedPageBreak/>
        <w:t>Notes to the Financial Statements</w:t>
      </w:r>
    </w:p>
    <w:p w:rsidR="007C6C0F" w:rsidRPr="00E171F7" w:rsidRDefault="007C6C0F" w:rsidP="00786E0F">
      <w:pPr>
        <w:rPr>
          <w:b/>
          <w:sz w:val="24"/>
          <w:szCs w:val="24"/>
        </w:rPr>
      </w:pPr>
      <w:r w:rsidRPr="00E171F7">
        <w:rPr>
          <w:b/>
        </w:rPr>
        <w:t>For the Year ended 30 June 2013</w:t>
      </w:r>
    </w:p>
    <w:p w:rsidR="00D2400B" w:rsidRPr="00FC5AAD" w:rsidRDefault="00EC6D27" w:rsidP="00EC6D27">
      <w:pPr>
        <w:pStyle w:val="Heading2"/>
        <w:rPr>
          <w:b w:val="0"/>
        </w:rPr>
      </w:pPr>
      <w:r>
        <w:rPr>
          <w:b w:val="0"/>
        </w:rPr>
        <w:t xml:space="preserve">16. </w:t>
      </w:r>
      <w:r w:rsidR="00D2400B" w:rsidRPr="00FC5AAD">
        <w:rPr>
          <w:b w:val="0"/>
        </w:rPr>
        <w:t xml:space="preserve">Operating Lease Commitments </w:t>
      </w:r>
    </w:p>
    <w:p w:rsidR="00D2400B" w:rsidRPr="004D2CB8" w:rsidRDefault="00D2400B" w:rsidP="00786E0F">
      <w:r w:rsidRPr="004D2CB8">
        <w:t>Non-cancellable operating lease contracted for not capitalised in the financial statements</w:t>
      </w:r>
    </w:p>
    <w:p w:rsidR="00D2400B" w:rsidRPr="004D2CB8" w:rsidRDefault="00D2400B" w:rsidP="00786E0F">
      <w:r w:rsidRPr="004D2CB8">
        <w:t>The property lease commitment is a non-cancellable sub lease under the head lease for the office contracted for but not capitalised in the financial statements with a two-year term expiring in 31 January 2015. There is a 3- year option on the lease.</w:t>
      </w:r>
    </w:p>
    <w:p w:rsidR="00D2400B" w:rsidRDefault="00D2400B" w:rsidP="00786E0F">
      <w:r w:rsidRPr="004D2CB8">
        <w:t xml:space="preserve">No capital commitment exist in regards to the operating lease commitments at year – end. Increase in lease commitment may occur in line with CPI. </w:t>
      </w:r>
    </w:p>
    <w:p w:rsidR="00D2400B" w:rsidRPr="0070206E" w:rsidRDefault="00D2400B" w:rsidP="00786E0F">
      <w:pPr>
        <w:rPr>
          <w:highlight w:val="yellow"/>
        </w:rPr>
      </w:pPr>
      <w:r w:rsidRPr="004D2CB8">
        <w:t>The car park lease commitment is a non-cancellable license contracted for but not capitalised in the financial statements with a one-year term.</w:t>
      </w:r>
    </w:p>
    <w:p w:rsidR="00D2400B" w:rsidRPr="00FC5AAD" w:rsidRDefault="00EC6D27" w:rsidP="00EC6D27">
      <w:pPr>
        <w:pStyle w:val="Heading2"/>
        <w:rPr>
          <w:b w:val="0"/>
        </w:rPr>
      </w:pPr>
      <w:r>
        <w:rPr>
          <w:b w:val="0"/>
        </w:rPr>
        <w:t xml:space="preserve">17. </w:t>
      </w:r>
      <w:r w:rsidR="008F4A4A">
        <w:rPr>
          <w:b w:val="0"/>
        </w:rPr>
        <w:t xml:space="preserve"> </w:t>
      </w:r>
      <w:r w:rsidR="00D2400B" w:rsidRPr="00FC5AAD">
        <w:rPr>
          <w:b w:val="0"/>
        </w:rPr>
        <w:t>Key Management Personnel</w:t>
      </w:r>
    </w:p>
    <w:p w:rsidR="00D2400B" w:rsidRPr="003C5D3D" w:rsidRDefault="00D2400B" w:rsidP="00786E0F">
      <w:r w:rsidRPr="003C5D3D">
        <w:t>The following responsible positions were key management personnel of the entity at any time during the reporting</w:t>
      </w:r>
      <w:r>
        <w:t xml:space="preserve"> p</w:t>
      </w:r>
      <w:r w:rsidRPr="003C5D3D">
        <w:t>eriod:</w:t>
      </w:r>
    </w:p>
    <w:p w:rsidR="007C6C0F" w:rsidRDefault="00D2400B" w:rsidP="00786E0F">
      <w:pPr>
        <w:pStyle w:val="ListParagraph"/>
        <w:numPr>
          <w:ilvl w:val="0"/>
          <w:numId w:val="29"/>
        </w:numPr>
        <w:ind w:left="720"/>
      </w:pPr>
      <w:r w:rsidRPr="003C5D3D">
        <w:t>Chief Executive Officer</w:t>
      </w:r>
    </w:p>
    <w:p w:rsidR="00D2400B" w:rsidRPr="003C5D3D" w:rsidRDefault="00D2400B" w:rsidP="00786E0F">
      <w:pPr>
        <w:pStyle w:val="ListParagraph"/>
        <w:numPr>
          <w:ilvl w:val="0"/>
          <w:numId w:val="29"/>
        </w:numPr>
        <w:ind w:left="720"/>
      </w:pPr>
      <w:r w:rsidRPr="003C5D3D">
        <w:t>Deputy Chief Executive Officer</w:t>
      </w:r>
    </w:p>
    <w:p w:rsidR="00D2400B" w:rsidRPr="003C5D3D" w:rsidRDefault="007C6C0F" w:rsidP="00786E0F">
      <w:pPr>
        <w:rPr>
          <w:b/>
        </w:rPr>
      </w:pPr>
      <w:r>
        <w:rPr>
          <w:b/>
        </w:rPr>
        <w:t>Transactions with k</w:t>
      </w:r>
      <w:r w:rsidR="00D2400B" w:rsidRPr="003C5D3D">
        <w:rPr>
          <w:b/>
        </w:rPr>
        <w:t>ey management personnel</w:t>
      </w:r>
    </w:p>
    <w:p w:rsidR="00D2400B" w:rsidRDefault="00D2400B" w:rsidP="00786E0F">
      <w:pPr>
        <w:spacing w:after="360"/>
      </w:pPr>
      <w:r w:rsidRPr="003C5D3D">
        <w:t>The key management personnel compensation included in employee expenses are as follows:</w:t>
      </w:r>
    </w:p>
    <w:tbl>
      <w:tblPr>
        <w:tblStyle w:val="TableGrid"/>
        <w:tblW w:w="91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key management personnel compensation"/>
      </w:tblPr>
      <w:tblGrid>
        <w:gridCol w:w="6297"/>
        <w:gridCol w:w="1444"/>
        <w:gridCol w:w="1444"/>
      </w:tblGrid>
      <w:tr w:rsidR="00D2400B" w:rsidRPr="009B1FC1" w:rsidTr="00786E0F">
        <w:trPr>
          <w:cnfStyle w:val="100000000000" w:firstRow="1" w:lastRow="0" w:firstColumn="0" w:lastColumn="0" w:oddVBand="0" w:evenVBand="0" w:oddHBand="0" w:evenHBand="0" w:firstRowFirstColumn="0" w:firstRowLastColumn="0" w:lastRowFirstColumn="0" w:lastRowLastColumn="0"/>
          <w:cantSplit/>
          <w:tblHeader/>
          <w:jc w:val="center"/>
        </w:trPr>
        <w:tc>
          <w:tcPr>
            <w:tcW w:w="5235" w:type="dxa"/>
          </w:tcPr>
          <w:p w:rsidR="00D2400B" w:rsidRPr="009B1FC1" w:rsidRDefault="00A20F2F" w:rsidP="00A20F2F">
            <w:pPr>
              <w:spacing w:after="60"/>
            </w:pPr>
            <w:r>
              <w:t>Key management personnel compensation</w:t>
            </w:r>
          </w:p>
        </w:tc>
        <w:tc>
          <w:tcPr>
            <w:tcW w:w="1200" w:type="dxa"/>
          </w:tcPr>
          <w:p w:rsidR="00D2400B" w:rsidRPr="009B1FC1" w:rsidRDefault="00D2400B" w:rsidP="0078384F">
            <w:pPr>
              <w:spacing w:after="60"/>
              <w:jc w:val="right"/>
              <w:rPr>
                <w:sz w:val="24"/>
                <w:szCs w:val="24"/>
              </w:rPr>
            </w:pPr>
            <w:r>
              <w:t>2013</w:t>
            </w:r>
            <w:r w:rsidR="007C6C0F">
              <w:br/>
              <w:t>$</w:t>
            </w:r>
          </w:p>
        </w:tc>
        <w:tc>
          <w:tcPr>
            <w:tcW w:w="1200" w:type="dxa"/>
          </w:tcPr>
          <w:p w:rsidR="00D2400B" w:rsidRPr="009B1FC1" w:rsidRDefault="00D2400B" w:rsidP="0078384F">
            <w:pPr>
              <w:spacing w:after="60"/>
              <w:jc w:val="right"/>
            </w:pPr>
            <w:r>
              <w:t>2012</w:t>
            </w:r>
            <w:r w:rsidR="007C6C0F">
              <w:br/>
              <w:t>$</w:t>
            </w:r>
          </w:p>
        </w:tc>
      </w:tr>
      <w:tr w:rsidR="00D2400B" w:rsidRPr="009B1FC1" w:rsidTr="00786E0F">
        <w:trPr>
          <w:cantSplit/>
          <w:jc w:val="center"/>
        </w:trPr>
        <w:tc>
          <w:tcPr>
            <w:tcW w:w="5235" w:type="dxa"/>
          </w:tcPr>
          <w:p w:rsidR="00D2400B" w:rsidRPr="009B1FC1" w:rsidRDefault="00D2400B" w:rsidP="00A20F2F">
            <w:pPr>
              <w:spacing w:after="60"/>
            </w:pPr>
            <w:r w:rsidRPr="009B1FC1">
              <w:t>Short-term employee benefits</w:t>
            </w:r>
          </w:p>
        </w:tc>
        <w:tc>
          <w:tcPr>
            <w:tcW w:w="1200" w:type="dxa"/>
          </w:tcPr>
          <w:p w:rsidR="00D2400B" w:rsidRPr="009B1FC1" w:rsidRDefault="00D2400B" w:rsidP="0078384F">
            <w:pPr>
              <w:spacing w:after="60"/>
              <w:jc w:val="right"/>
            </w:pPr>
            <w:r>
              <w:t>273,309</w:t>
            </w:r>
          </w:p>
        </w:tc>
        <w:tc>
          <w:tcPr>
            <w:tcW w:w="1200" w:type="dxa"/>
          </w:tcPr>
          <w:p w:rsidR="00D2400B" w:rsidRPr="009B1FC1" w:rsidRDefault="00D2400B" w:rsidP="0078384F">
            <w:pPr>
              <w:spacing w:after="60"/>
              <w:jc w:val="right"/>
            </w:pPr>
            <w:r w:rsidRPr="009B1FC1">
              <w:t>358,637</w:t>
            </w:r>
          </w:p>
        </w:tc>
      </w:tr>
    </w:tbl>
    <w:p w:rsidR="00D2400B" w:rsidRPr="00F104FF" w:rsidRDefault="00EC6D27" w:rsidP="00EC6D27">
      <w:pPr>
        <w:pStyle w:val="Heading2"/>
        <w:rPr>
          <w:b w:val="0"/>
          <w:sz w:val="36"/>
        </w:rPr>
      </w:pPr>
      <w:r>
        <w:rPr>
          <w:b w:val="0"/>
        </w:rPr>
        <w:t>18.</w:t>
      </w:r>
      <w:r w:rsidR="008F4A4A">
        <w:rPr>
          <w:b w:val="0"/>
        </w:rPr>
        <w:t xml:space="preserve"> </w:t>
      </w:r>
      <w:r>
        <w:rPr>
          <w:b w:val="0"/>
        </w:rPr>
        <w:t xml:space="preserve"> </w:t>
      </w:r>
      <w:r w:rsidR="00D2400B" w:rsidRPr="00FC5AAD">
        <w:rPr>
          <w:b w:val="0"/>
        </w:rPr>
        <w:t>Non Key Management Personnel Disclosures</w:t>
      </w:r>
    </w:p>
    <w:p w:rsidR="00D2400B" w:rsidRPr="005B134F" w:rsidRDefault="00D2400B" w:rsidP="00786E0F">
      <w:pPr>
        <w:widowControl w:val="0"/>
        <w:tabs>
          <w:tab w:val="left" w:pos="567"/>
          <w:tab w:val="left" w:pos="1176"/>
          <w:tab w:val="left" w:pos="1729"/>
        </w:tabs>
        <w:autoSpaceDE w:val="0"/>
        <w:autoSpaceDN w:val="0"/>
        <w:adjustRightInd w:val="0"/>
        <w:spacing w:before="55" w:after="0" w:line="240" w:lineRule="auto"/>
        <w:ind w:right="269"/>
        <w:rPr>
          <w:rFonts w:ascii="Times New Roman" w:hAnsi="Times New Roman"/>
          <w:b/>
          <w:sz w:val="24"/>
          <w:szCs w:val="24"/>
        </w:rPr>
      </w:pPr>
    </w:p>
    <w:p w:rsidR="00D2400B" w:rsidRPr="00A20F2F" w:rsidRDefault="00D2400B" w:rsidP="00786E0F">
      <w:pPr>
        <w:rPr>
          <w:b/>
        </w:rPr>
      </w:pPr>
      <w:r w:rsidRPr="00A20F2F">
        <w:rPr>
          <w:b/>
        </w:rPr>
        <w:t>Identity of related parties</w:t>
      </w:r>
    </w:p>
    <w:p w:rsidR="00D2400B" w:rsidRPr="005B134F" w:rsidRDefault="00D2400B" w:rsidP="00786E0F">
      <w:r w:rsidRPr="005B134F">
        <w:t>The entity has a related party relationship with its directors.</w:t>
      </w:r>
    </w:p>
    <w:p w:rsidR="00D2400B" w:rsidRPr="00A20F2F" w:rsidRDefault="00D2400B" w:rsidP="00786E0F">
      <w:pPr>
        <w:rPr>
          <w:b/>
        </w:rPr>
      </w:pPr>
      <w:r w:rsidRPr="00A20F2F">
        <w:rPr>
          <w:b/>
        </w:rPr>
        <w:t>Transactions with key management personnel</w:t>
      </w:r>
    </w:p>
    <w:p w:rsidR="00D2400B" w:rsidRPr="006A78DC" w:rsidRDefault="00D2400B" w:rsidP="00786E0F">
      <w:r w:rsidRPr="005B134F">
        <w:t>All directors perform the</w:t>
      </w:r>
      <w:r>
        <w:t>ir duties on an honorary basis.</w:t>
      </w:r>
    </w:p>
    <w:p w:rsidR="00D2400B" w:rsidRPr="00A20F2F" w:rsidRDefault="00D2400B" w:rsidP="00712543">
      <w:pPr>
        <w:spacing w:before="1440" w:after="0"/>
        <w:ind w:left="1134"/>
        <w:jc w:val="center"/>
        <w:rPr>
          <w:i/>
          <w:iCs/>
          <w:color w:val="000000"/>
          <w:szCs w:val="16"/>
        </w:rPr>
      </w:pPr>
      <w:r w:rsidRPr="00A20F2F">
        <w:rPr>
          <w:i/>
          <w:iCs/>
          <w:color w:val="000000"/>
          <w:szCs w:val="16"/>
        </w:rPr>
        <w:t>These notes form part of the financial statements</w:t>
      </w:r>
    </w:p>
    <w:p w:rsidR="00D2400B" w:rsidRDefault="00D2400B" w:rsidP="00D2400B">
      <w:pPr>
        <w:rPr>
          <w:rFonts w:ascii="Times New Roman" w:hAnsi="Times New Roman"/>
          <w:i/>
          <w:iCs/>
          <w:color w:val="000000"/>
          <w:sz w:val="16"/>
          <w:szCs w:val="16"/>
        </w:rPr>
      </w:pPr>
      <w:r>
        <w:rPr>
          <w:rFonts w:ascii="Times New Roman" w:hAnsi="Times New Roman"/>
          <w:i/>
          <w:iCs/>
          <w:color w:val="000000"/>
          <w:sz w:val="16"/>
          <w:szCs w:val="16"/>
        </w:rPr>
        <w:br w:type="page"/>
      </w:r>
    </w:p>
    <w:p w:rsidR="00A20F2F" w:rsidRPr="00E171F7" w:rsidRDefault="00A20F2F" w:rsidP="00786E0F">
      <w:pPr>
        <w:rPr>
          <w:sz w:val="48"/>
        </w:rPr>
      </w:pPr>
      <w:r w:rsidRPr="00E171F7">
        <w:rPr>
          <w:sz w:val="48"/>
        </w:rPr>
        <w:lastRenderedPageBreak/>
        <w:t>Notes to the Financial Statements</w:t>
      </w:r>
    </w:p>
    <w:p w:rsidR="00A20F2F" w:rsidRPr="00E171F7" w:rsidRDefault="00A20F2F" w:rsidP="00786E0F">
      <w:pPr>
        <w:spacing w:after="0"/>
        <w:rPr>
          <w:b/>
          <w:sz w:val="24"/>
          <w:szCs w:val="24"/>
        </w:rPr>
      </w:pPr>
      <w:r w:rsidRPr="00E171F7">
        <w:rPr>
          <w:b/>
        </w:rPr>
        <w:t>For the Year ended 30 June 2013</w:t>
      </w:r>
    </w:p>
    <w:p w:rsidR="00D2400B" w:rsidRPr="00117C87" w:rsidRDefault="00D2400B" w:rsidP="00D2400B">
      <w:pPr>
        <w:widowControl w:val="0"/>
        <w:tabs>
          <w:tab w:val="left" w:pos="1176"/>
          <w:tab w:val="left" w:pos="1729"/>
        </w:tabs>
        <w:autoSpaceDE w:val="0"/>
        <w:autoSpaceDN w:val="0"/>
        <w:adjustRightInd w:val="0"/>
        <w:spacing w:before="55" w:after="0" w:line="240" w:lineRule="auto"/>
        <w:ind w:right="269"/>
        <w:rPr>
          <w:rFonts w:ascii="Times New Roman" w:hAnsi="Times New Roman"/>
        </w:rPr>
      </w:pPr>
    </w:p>
    <w:tbl>
      <w:tblPr>
        <w:tblStyle w:val="TableGrid"/>
        <w:tblW w:w="91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cash flow information from operations"/>
      </w:tblPr>
      <w:tblGrid>
        <w:gridCol w:w="6016"/>
        <w:gridCol w:w="1584"/>
        <w:gridCol w:w="1585"/>
      </w:tblGrid>
      <w:tr w:rsidR="00D2400B" w:rsidRPr="008204DE" w:rsidTr="008F4A4A">
        <w:trPr>
          <w:cnfStyle w:val="100000000000" w:firstRow="1" w:lastRow="0" w:firstColumn="0" w:lastColumn="0" w:oddVBand="0" w:evenVBand="0" w:oddHBand="0" w:evenHBand="0" w:firstRowFirstColumn="0" w:firstRowLastColumn="0" w:lastRowFirstColumn="0" w:lastRowLastColumn="0"/>
          <w:tblHeader/>
          <w:jc w:val="center"/>
        </w:trPr>
        <w:tc>
          <w:tcPr>
            <w:tcW w:w="5920" w:type="dxa"/>
          </w:tcPr>
          <w:p w:rsidR="00D2400B" w:rsidRPr="001F30B3" w:rsidRDefault="00EC6D27" w:rsidP="001F30B3">
            <w:pPr>
              <w:pStyle w:val="Heading2"/>
              <w:spacing w:before="0"/>
              <w:outlineLvl w:val="1"/>
              <w:rPr>
                <w:rFonts w:ascii="Times New Roman" w:hAnsi="Times New Roman"/>
                <w:sz w:val="24"/>
                <w:szCs w:val="24"/>
              </w:rPr>
            </w:pPr>
            <w:r w:rsidRPr="001F30B3">
              <w:t xml:space="preserve">19. </w:t>
            </w:r>
            <w:r w:rsidR="00D2400B" w:rsidRPr="001F30B3">
              <w:t>Cash Flow Information from Operations</w:t>
            </w:r>
          </w:p>
        </w:tc>
        <w:tc>
          <w:tcPr>
            <w:tcW w:w="1559" w:type="dxa"/>
          </w:tcPr>
          <w:p w:rsidR="00D2400B" w:rsidRPr="008204DE" w:rsidRDefault="00D02DD3" w:rsidP="0078384F">
            <w:pPr>
              <w:jc w:val="right"/>
            </w:pPr>
            <w:r>
              <w:t>2013</w:t>
            </w:r>
            <w:r>
              <w:br/>
              <w:t>$</w:t>
            </w:r>
          </w:p>
        </w:tc>
        <w:tc>
          <w:tcPr>
            <w:tcW w:w="1560" w:type="dxa"/>
          </w:tcPr>
          <w:p w:rsidR="00D2400B" w:rsidRPr="008204DE" w:rsidRDefault="00D02DD3" w:rsidP="0078384F">
            <w:pPr>
              <w:jc w:val="right"/>
            </w:pPr>
            <w:r>
              <w:t>2012</w:t>
            </w:r>
            <w:r>
              <w:br/>
              <w:t>$</w:t>
            </w:r>
          </w:p>
        </w:tc>
      </w:tr>
      <w:tr w:rsidR="00D2400B" w:rsidRPr="00B01C65" w:rsidTr="008F4A4A">
        <w:trPr>
          <w:jc w:val="center"/>
        </w:trPr>
        <w:tc>
          <w:tcPr>
            <w:tcW w:w="5920" w:type="dxa"/>
          </w:tcPr>
          <w:p w:rsidR="00D2400B" w:rsidRPr="00B01C65" w:rsidRDefault="00D2400B" w:rsidP="00D02DD3">
            <w:r w:rsidRPr="00B01C65">
              <w:t>Profit (Loss) after Income Tax</w:t>
            </w:r>
          </w:p>
        </w:tc>
        <w:tc>
          <w:tcPr>
            <w:tcW w:w="1559" w:type="dxa"/>
          </w:tcPr>
          <w:p w:rsidR="00D2400B" w:rsidRPr="00B01C65" w:rsidRDefault="00D2400B" w:rsidP="0078384F">
            <w:pPr>
              <w:jc w:val="right"/>
            </w:pPr>
            <w:r w:rsidRPr="001E59DB">
              <w:rPr>
                <w:color w:val="000000"/>
              </w:rPr>
              <w:t>(</w:t>
            </w:r>
            <w:r>
              <w:rPr>
                <w:color w:val="000000"/>
              </w:rPr>
              <w:t>517,370</w:t>
            </w:r>
            <w:r w:rsidRPr="001E59DB">
              <w:rPr>
                <w:color w:val="000000"/>
              </w:rPr>
              <w:t>)</w:t>
            </w:r>
          </w:p>
        </w:tc>
        <w:tc>
          <w:tcPr>
            <w:tcW w:w="1560" w:type="dxa"/>
          </w:tcPr>
          <w:p w:rsidR="00D2400B" w:rsidRPr="00B01C65" w:rsidRDefault="00D2400B" w:rsidP="0078384F">
            <w:pPr>
              <w:jc w:val="right"/>
            </w:pPr>
            <w:r w:rsidRPr="00B01C65">
              <w:t>(1,204,253)</w:t>
            </w:r>
          </w:p>
        </w:tc>
      </w:tr>
      <w:tr w:rsidR="00D2400B" w:rsidRPr="00B01C65" w:rsidTr="008F4A4A">
        <w:trPr>
          <w:jc w:val="center"/>
        </w:trPr>
        <w:tc>
          <w:tcPr>
            <w:tcW w:w="5920" w:type="dxa"/>
          </w:tcPr>
          <w:p w:rsidR="00D2400B" w:rsidRPr="00B01C65" w:rsidRDefault="00D2400B" w:rsidP="00D02DD3">
            <w:r w:rsidRPr="00B01C65">
              <w:t>Non cash flows</w:t>
            </w:r>
          </w:p>
        </w:tc>
        <w:tc>
          <w:tcPr>
            <w:tcW w:w="1559" w:type="dxa"/>
          </w:tcPr>
          <w:p w:rsidR="00D2400B" w:rsidRPr="00B01C65" w:rsidRDefault="00D2400B" w:rsidP="0078384F">
            <w:pPr>
              <w:jc w:val="right"/>
            </w:pPr>
          </w:p>
        </w:tc>
        <w:tc>
          <w:tcPr>
            <w:tcW w:w="1560" w:type="dxa"/>
          </w:tcPr>
          <w:p w:rsidR="00D2400B" w:rsidRPr="00B01C65" w:rsidRDefault="00D2400B" w:rsidP="0078384F">
            <w:pPr>
              <w:jc w:val="right"/>
            </w:pPr>
          </w:p>
        </w:tc>
      </w:tr>
      <w:tr w:rsidR="00D2400B" w:rsidRPr="00B01C65" w:rsidTr="008F4A4A">
        <w:trPr>
          <w:jc w:val="center"/>
        </w:trPr>
        <w:tc>
          <w:tcPr>
            <w:tcW w:w="5920" w:type="dxa"/>
          </w:tcPr>
          <w:p w:rsidR="00D2400B" w:rsidRPr="00B01C65" w:rsidRDefault="00D2400B" w:rsidP="00D02DD3">
            <w:r w:rsidRPr="00B01C65">
              <w:t>Depreciation and amortization</w:t>
            </w:r>
          </w:p>
        </w:tc>
        <w:tc>
          <w:tcPr>
            <w:tcW w:w="1559" w:type="dxa"/>
          </w:tcPr>
          <w:p w:rsidR="00D2400B" w:rsidRPr="00B01C65" w:rsidRDefault="00D2400B" w:rsidP="0078384F">
            <w:pPr>
              <w:jc w:val="right"/>
            </w:pPr>
            <w:r>
              <w:rPr>
                <w:color w:val="000000"/>
              </w:rPr>
              <w:t>121,581</w:t>
            </w:r>
          </w:p>
        </w:tc>
        <w:tc>
          <w:tcPr>
            <w:tcW w:w="1560" w:type="dxa"/>
          </w:tcPr>
          <w:p w:rsidR="00D2400B" w:rsidRPr="00B01C65" w:rsidRDefault="00D2400B" w:rsidP="0078384F">
            <w:pPr>
              <w:jc w:val="right"/>
            </w:pPr>
            <w:r w:rsidRPr="00B01C65">
              <w:t>33,827</w:t>
            </w:r>
          </w:p>
        </w:tc>
      </w:tr>
      <w:tr w:rsidR="00D2400B" w:rsidRPr="00B01C65" w:rsidTr="008F4A4A">
        <w:trPr>
          <w:jc w:val="center"/>
        </w:trPr>
        <w:tc>
          <w:tcPr>
            <w:tcW w:w="5920" w:type="dxa"/>
          </w:tcPr>
          <w:p w:rsidR="00D2400B" w:rsidRPr="00B01C65" w:rsidRDefault="00D2400B" w:rsidP="00D02DD3">
            <w:r w:rsidRPr="00B01C65">
              <w:t>Unrealised loss (gain) on investment</w:t>
            </w:r>
          </w:p>
        </w:tc>
        <w:tc>
          <w:tcPr>
            <w:tcW w:w="1559" w:type="dxa"/>
          </w:tcPr>
          <w:p w:rsidR="00D2400B" w:rsidRPr="00B01C65" w:rsidRDefault="00D2400B" w:rsidP="0078384F">
            <w:pPr>
              <w:jc w:val="right"/>
            </w:pPr>
            <w:r>
              <w:t>(830,260)</w:t>
            </w:r>
          </w:p>
        </w:tc>
        <w:tc>
          <w:tcPr>
            <w:tcW w:w="1560" w:type="dxa"/>
          </w:tcPr>
          <w:p w:rsidR="00D2400B" w:rsidRPr="00B01C65" w:rsidRDefault="00D2400B" w:rsidP="0078384F">
            <w:pPr>
              <w:jc w:val="right"/>
            </w:pPr>
            <w:r w:rsidRPr="00B01C65">
              <w:t>312,145</w:t>
            </w:r>
          </w:p>
        </w:tc>
      </w:tr>
      <w:tr w:rsidR="00D2400B" w:rsidRPr="00B01C65" w:rsidTr="008F4A4A">
        <w:trPr>
          <w:jc w:val="center"/>
        </w:trPr>
        <w:tc>
          <w:tcPr>
            <w:tcW w:w="5920" w:type="dxa"/>
          </w:tcPr>
          <w:p w:rsidR="00D2400B" w:rsidRPr="00B01C65" w:rsidRDefault="00D2400B" w:rsidP="00D02DD3">
            <w:r w:rsidRPr="00B01C65">
              <w:t>Changes in assets and liabilities</w:t>
            </w:r>
          </w:p>
        </w:tc>
        <w:tc>
          <w:tcPr>
            <w:tcW w:w="1559" w:type="dxa"/>
          </w:tcPr>
          <w:p w:rsidR="00D2400B" w:rsidRPr="00B01C65" w:rsidRDefault="00D2400B" w:rsidP="0078384F">
            <w:pPr>
              <w:jc w:val="right"/>
            </w:pPr>
          </w:p>
        </w:tc>
        <w:tc>
          <w:tcPr>
            <w:tcW w:w="1560" w:type="dxa"/>
          </w:tcPr>
          <w:p w:rsidR="00D2400B" w:rsidRPr="00B01C65" w:rsidRDefault="00D2400B" w:rsidP="0078384F">
            <w:pPr>
              <w:jc w:val="right"/>
            </w:pPr>
          </w:p>
        </w:tc>
      </w:tr>
      <w:tr w:rsidR="00D2400B" w:rsidRPr="00B01C65" w:rsidTr="008F4A4A">
        <w:trPr>
          <w:jc w:val="center"/>
        </w:trPr>
        <w:tc>
          <w:tcPr>
            <w:tcW w:w="5920" w:type="dxa"/>
          </w:tcPr>
          <w:p w:rsidR="00D2400B" w:rsidRPr="00B01C65" w:rsidRDefault="00D2400B" w:rsidP="00D02DD3">
            <w:r w:rsidRPr="00B01C65">
              <w:t>Decrease/ (increase) in trade and other receivables, and other assets</w:t>
            </w:r>
          </w:p>
        </w:tc>
        <w:tc>
          <w:tcPr>
            <w:tcW w:w="1559" w:type="dxa"/>
          </w:tcPr>
          <w:p w:rsidR="00D2400B" w:rsidRPr="00B01C65" w:rsidRDefault="00D2400B" w:rsidP="0078384F">
            <w:pPr>
              <w:jc w:val="right"/>
            </w:pPr>
            <w:r>
              <w:t>32,602</w:t>
            </w:r>
          </w:p>
        </w:tc>
        <w:tc>
          <w:tcPr>
            <w:tcW w:w="1560" w:type="dxa"/>
          </w:tcPr>
          <w:p w:rsidR="00D2400B" w:rsidRPr="00B01C65" w:rsidRDefault="00D2400B" w:rsidP="0078384F">
            <w:pPr>
              <w:jc w:val="right"/>
            </w:pPr>
            <w:r w:rsidRPr="00B01C65">
              <w:t>14,356</w:t>
            </w:r>
          </w:p>
        </w:tc>
      </w:tr>
      <w:tr w:rsidR="00D2400B" w:rsidRPr="00B01C65" w:rsidTr="008F4A4A">
        <w:trPr>
          <w:jc w:val="center"/>
        </w:trPr>
        <w:tc>
          <w:tcPr>
            <w:tcW w:w="5920" w:type="dxa"/>
          </w:tcPr>
          <w:p w:rsidR="00D2400B" w:rsidRPr="00B01C65" w:rsidRDefault="00D2400B" w:rsidP="00D02DD3">
            <w:r w:rsidRPr="00B01C65">
              <w:t>(Decrease) / increase in trade and other payables</w:t>
            </w:r>
          </w:p>
        </w:tc>
        <w:tc>
          <w:tcPr>
            <w:tcW w:w="1559" w:type="dxa"/>
          </w:tcPr>
          <w:p w:rsidR="00D2400B" w:rsidRPr="00B01C65" w:rsidRDefault="00D2400B" w:rsidP="0078384F">
            <w:pPr>
              <w:jc w:val="right"/>
            </w:pPr>
            <w:r>
              <w:t>(147,466</w:t>
            </w:r>
            <w:r w:rsidRPr="00B01C65">
              <w:t xml:space="preserve"> </w:t>
            </w:r>
            <w:r>
              <w:t>)</w:t>
            </w:r>
            <w:r w:rsidRPr="00B01C65">
              <w:t xml:space="preserve"> </w:t>
            </w:r>
          </w:p>
        </w:tc>
        <w:tc>
          <w:tcPr>
            <w:tcW w:w="1560" w:type="dxa"/>
          </w:tcPr>
          <w:p w:rsidR="00D2400B" w:rsidRPr="00B01C65" w:rsidRDefault="00D2400B" w:rsidP="0078384F">
            <w:pPr>
              <w:jc w:val="right"/>
            </w:pPr>
            <w:r w:rsidRPr="00B01C65">
              <w:t>222,390</w:t>
            </w:r>
            <w:r w:rsidR="00BE7EB4">
              <w:t xml:space="preserve"> </w:t>
            </w:r>
          </w:p>
        </w:tc>
      </w:tr>
      <w:tr w:rsidR="00D2400B" w:rsidRPr="00B01C65" w:rsidTr="003F7A90">
        <w:trPr>
          <w:jc w:val="center"/>
        </w:trPr>
        <w:tc>
          <w:tcPr>
            <w:tcW w:w="5920" w:type="dxa"/>
          </w:tcPr>
          <w:p w:rsidR="00D2400B" w:rsidRPr="00B01C65" w:rsidRDefault="00D2400B" w:rsidP="00D02DD3">
            <w:r w:rsidRPr="00B01C65">
              <w:t>(Decrease) / increase in provisions</w:t>
            </w:r>
          </w:p>
        </w:tc>
        <w:tc>
          <w:tcPr>
            <w:tcW w:w="1559" w:type="dxa"/>
            <w:tcBorders>
              <w:bottom w:val="single" w:sz="4" w:space="0" w:color="auto"/>
            </w:tcBorders>
          </w:tcPr>
          <w:p w:rsidR="00D2400B" w:rsidRPr="00B01C65" w:rsidRDefault="00D2400B" w:rsidP="0078384F">
            <w:pPr>
              <w:jc w:val="right"/>
            </w:pPr>
            <w:r>
              <w:t>30,591</w:t>
            </w:r>
          </w:p>
        </w:tc>
        <w:tc>
          <w:tcPr>
            <w:tcW w:w="1560" w:type="dxa"/>
            <w:tcBorders>
              <w:bottom w:val="single" w:sz="4" w:space="0" w:color="auto"/>
            </w:tcBorders>
          </w:tcPr>
          <w:p w:rsidR="00D2400B" w:rsidRPr="00B01C65" w:rsidRDefault="00D2400B" w:rsidP="0078384F">
            <w:pPr>
              <w:jc w:val="right"/>
            </w:pPr>
            <w:r w:rsidRPr="00B01C65">
              <w:t>14,621</w:t>
            </w:r>
          </w:p>
        </w:tc>
      </w:tr>
      <w:tr w:rsidR="00D2400B" w:rsidRPr="008204DE" w:rsidTr="003F7A90">
        <w:trPr>
          <w:jc w:val="center"/>
        </w:trPr>
        <w:tc>
          <w:tcPr>
            <w:tcW w:w="5920" w:type="dxa"/>
          </w:tcPr>
          <w:p w:rsidR="00D2400B" w:rsidRPr="00B01C65" w:rsidRDefault="00D2400B" w:rsidP="00D02DD3">
            <w:r w:rsidRPr="00D02DD3">
              <w:rPr>
                <w:b/>
              </w:rPr>
              <w:t>C</w:t>
            </w:r>
            <w:r w:rsidRPr="00B01C65">
              <w:rPr>
                <w:b/>
              </w:rPr>
              <w:t>ash flow provided by operating activities</w:t>
            </w:r>
          </w:p>
        </w:tc>
        <w:tc>
          <w:tcPr>
            <w:tcW w:w="1559" w:type="dxa"/>
            <w:tcBorders>
              <w:top w:val="single" w:sz="4" w:space="0" w:color="auto"/>
              <w:bottom w:val="double" w:sz="4" w:space="0" w:color="auto"/>
            </w:tcBorders>
          </w:tcPr>
          <w:p w:rsidR="00D2400B" w:rsidRPr="00B01C65" w:rsidRDefault="00D2400B" w:rsidP="0078384F">
            <w:pPr>
              <w:jc w:val="right"/>
              <w:rPr>
                <w:b/>
              </w:rPr>
            </w:pPr>
            <w:r w:rsidRPr="00B01C65">
              <w:t>(</w:t>
            </w:r>
            <w:r>
              <w:t>1,310,322</w:t>
            </w:r>
            <w:r w:rsidRPr="00B01C65">
              <w:t>)</w:t>
            </w:r>
            <w:r w:rsidRPr="00B01C65">
              <w:rPr>
                <w:b/>
              </w:rPr>
              <w:t xml:space="preserve"> </w:t>
            </w:r>
          </w:p>
        </w:tc>
        <w:tc>
          <w:tcPr>
            <w:tcW w:w="1560" w:type="dxa"/>
            <w:tcBorders>
              <w:top w:val="single" w:sz="4" w:space="0" w:color="auto"/>
              <w:bottom w:val="double" w:sz="4" w:space="0" w:color="auto"/>
            </w:tcBorders>
          </w:tcPr>
          <w:p w:rsidR="00D2400B" w:rsidRPr="008204DE" w:rsidRDefault="00D2400B" w:rsidP="0078384F">
            <w:pPr>
              <w:jc w:val="right"/>
            </w:pPr>
            <w:r w:rsidRPr="00B01C65">
              <w:t>(606,914)</w:t>
            </w:r>
          </w:p>
        </w:tc>
      </w:tr>
    </w:tbl>
    <w:p w:rsidR="00D2400B" w:rsidRPr="00F104FF" w:rsidRDefault="00EC6D27" w:rsidP="00EC6D27">
      <w:pPr>
        <w:pStyle w:val="Heading2"/>
        <w:spacing w:before="360"/>
        <w:rPr>
          <w:rFonts w:ascii="Times New Roman" w:hAnsi="Times New Roman"/>
          <w:b w:val="0"/>
        </w:rPr>
      </w:pPr>
      <w:r>
        <w:rPr>
          <w:b w:val="0"/>
        </w:rPr>
        <w:t xml:space="preserve">20. </w:t>
      </w:r>
      <w:r w:rsidR="00D2400B" w:rsidRPr="00F104FF">
        <w:rPr>
          <w:b w:val="0"/>
        </w:rPr>
        <w:t>Economic Entity Details</w:t>
      </w:r>
    </w:p>
    <w:p w:rsidR="00D2400B" w:rsidRPr="00117C87" w:rsidRDefault="00D2400B" w:rsidP="00786E0F">
      <w:r w:rsidRPr="00117C87">
        <w:t>The registered office of Economic Entity is</w:t>
      </w:r>
    </w:p>
    <w:p w:rsidR="00D2400B" w:rsidRPr="00117C87" w:rsidRDefault="00D2400B" w:rsidP="00F104FF">
      <w:pPr>
        <w:ind w:left="1701"/>
      </w:pPr>
      <w:r w:rsidRPr="00117C87">
        <w:t>Media Access Australia</w:t>
      </w:r>
      <w:r w:rsidR="00D02DD3">
        <w:br/>
      </w:r>
      <w:r w:rsidRPr="00117C87">
        <w:t>Level 3</w:t>
      </w:r>
      <w:r w:rsidR="00D02DD3">
        <w:br/>
      </w:r>
      <w:r w:rsidRPr="00117C87">
        <w:t>616-620 Harris Street</w:t>
      </w:r>
      <w:r w:rsidR="00D02DD3">
        <w:br/>
      </w:r>
      <w:r w:rsidRPr="00117C87">
        <w:t>ULTIMO</w:t>
      </w:r>
      <w:r w:rsidR="00BE7EB4">
        <w:t xml:space="preserve"> </w:t>
      </w:r>
      <w:r w:rsidRPr="00117C87">
        <w:t>NSW</w:t>
      </w:r>
      <w:r w:rsidR="00BE7EB4">
        <w:t xml:space="preserve"> </w:t>
      </w:r>
      <w:r w:rsidRPr="00117C87">
        <w:t>2007</w:t>
      </w:r>
    </w:p>
    <w:p w:rsidR="00D2400B" w:rsidRPr="00117C87" w:rsidRDefault="00D2400B" w:rsidP="00F104FF">
      <w:pPr>
        <w:ind w:left="1701"/>
      </w:pPr>
      <w:r w:rsidRPr="00117C87">
        <w:t>The principal place of business of the Economic Entity is:</w:t>
      </w:r>
    </w:p>
    <w:p w:rsidR="00D2400B" w:rsidRDefault="00D2400B" w:rsidP="00F104FF">
      <w:pPr>
        <w:ind w:left="1701"/>
        <w:rPr>
          <w:sz w:val="24"/>
          <w:szCs w:val="24"/>
        </w:rPr>
      </w:pPr>
      <w:r w:rsidRPr="00117C87">
        <w:t>Media Access Australia</w:t>
      </w:r>
      <w:r w:rsidR="00D02DD3">
        <w:br/>
      </w:r>
      <w:r w:rsidRPr="00117C87">
        <w:t>Level 3</w:t>
      </w:r>
      <w:r w:rsidR="00D02DD3">
        <w:br/>
      </w:r>
      <w:r w:rsidRPr="00117C87">
        <w:t>616-620 Harris Street</w:t>
      </w:r>
      <w:r w:rsidR="00D02DD3">
        <w:br/>
      </w:r>
      <w:r w:rsidRPr="00117C87">
        <w:t>ULTIMO</w:t>
      </w:r>
      <w:r w:rsidR="00BE7EB4">
        <w:t xml:space="preserve"> </w:t>
      </w:r>
      <w:r w:rsidRPr="00117C87">
        <w:t>NSW</w:t>
      </w:r>
      <w:r w:rsidR="00BE7EB4">
        <w:t xml:space="preserve"> </w:t>
      </w:r>
      <w:r w:rsidRPr="00117C87">
        <w:t>2007</w:t>
      </w:r>
    </w:p>
    <w:p w:rsidR="00D2400B" w:rsidRPr="00D02DD3" w:rsidRDefault="00D2400B" w:rsidP="00712543">
      <w:pPr>
        <w:spacing w:before="2520"/>
        <w:jc w:val="center"/>
        <w:rPr>
          <w:i/>
        </w:rPr>
      </w:pPr>
      <w:r w:rsidRPr="00D02DD3">
        <w:rPr>
          <w:i/>
        </w:rPr>
        <w:t>These notes form part of the financial statements</w:t>
      </w:r>
      <w:r w:rsidRPr="00D02DD3">
        <w:rPr>
          <w:i/>
        </w:rPr>
        <w:br w:type="page"/>
      </w:r>
    </w:p>
    <w:p w:rsidR="00D2400B" w:rsidRDefault="00D2400B" w:rsidP="00786E0F">
      <w:pPr>
        <w:pStyle w:val="Heading1"/>
      </w:pPr>
      <w:bookmarkStart w:id="9" w:name="_Toc370126170"/>
      <w:r w:rsidRPr="00374873">
        <w:lastRenderedPageBreak/>
        <w:t>Directors</w:t>
      </w:r>
      <w:r w:rsidR="00082BF0">
        <w:t>’</w:t>
      </w:r>
      <w:r w:rsidRPr="003226E6">
        <w:t xml:space="preserve"> Declaration</w:t>
      </w:r>
      <w:bookmarkEnd w:id="9"/>
    </w:p>
    <w:p w:rsidR="00D02DD3" w:rsidRPr="00E171F7" w:rsidRDefault="00D02DD3" w:rsidP="00786E0F">
      <w:pPr>
        <w:spacing w:after="0"/>
        <w:ind w:firstLine="11"/>
        <w:rPr>
          <w:b/>
          <w:sz w:val="24"/>
          <w:szCs w:val="24"/>
        </w:rPr>
      </w:pPr>
      <w:r w:rsidRPr="00E171F7">
        <w:rPr>
          <w:b/>
        </w:rPr>
        <w:t>For the Year ended 30 June 2013</w:t>
      </w:r>
    </w:p>
    <w:p w:rsidR="00D2400B" w:rsidRDefault="00D2400B" w:rsidP="00786E0F">
      <w:pPr>
        <w:spacing w:before="240"/>
      </w:pPr>
      <w:r>
        <w:t>The directors have determined that the company is a reporting entity and that this General purpose financial report should be prepared in accordance with the accounting policies outlined in Note 1 to the financial statements.</w:t>
      </w:r>
    </w:p>
    <w:p w:rsidR="00D2400B" w:rsidRDefault="00D2400B" w:rsidP="00786E0F">
      <w:pPr>
        <w:rPr>
          <w:sz w:val="24"/>
          <w:szCs w:val="24"/>
        </w:rPr>
      </w:pPr>
      <w:r>
        <w:t>The directors of the company declare that:</w:t>
      </w:r>
    </w:p>
    <w:p w:rsidR="00D2400B" w:rsidRDefault="00D2400B" w:rsidP="00786E0F">
      <w:pPr>
        <w:pStyle w:val="ListParagraph"/>
        <w:numPr>
          <w:ilvl w:val="6"/>
          <w:numId w:val="35"/>
        </w:numPr>
        <w:ind w:left="709"/>
      </w:pPr>
      <w:r>
        <w:t>the financial statements and notes, as set out in the financial report present fairly the company’s financial position as at 30 June 2013 and its performance for the year ended on that date in accordance with the accounting policies described in Note 1 to the financial statements; and</w:t>
      </w:r>
    </w:p>
    <w:p w:rsidR="00D2400B" w:rsidRPr="00910318" w:rsidRDefault="00D2400B" w:rsidP="00786E0F">
      <w:pPr>
        <w:pStyle w:val="ListParagraph"/>
        <w:numPr>
          <w:ilvl w:val="6"/>
          <w:numId w:val="35"/>
        </w:numPr>
        <w:ind w:left="709"/>
        <w:rPr>
          <w:sz w:val="24"/>
          <w:szCs w:val="24"/>
        </w:rPr>
      </w:pPr>
      <w:proofErr w:type="gramStart"/>
      <w:r>
        <w:t>in</w:t>
      </w:r>
      <w:proofErr w:type="gramEnd"/>
      <w:r>
        <w:t xml:space="preserve"> the directors’ opinion there are reasonable grounds to believe that the company will be able to pay its debts as and when they become due and payable.</w:t>
      </w:r>
    </w:p>
    <w:p w:rsidR="00D2400B" w:rsidRDefault="00D2400B" w:rsidP="00786E0F">
      <w:pPr>
        <w:spacing w:after="1080"/>
        <w:rPr>
          <w:sz w:val="24"/>
          <w:szCs w:val="24"/>
        </w:rPr>
      </w:pPr>
      <w:r>
        <w:t>This declaration is made in accordance with a resolution of the Board of Directors.</w:t>
      </w:r>
    </w:p>
    <w:p w:rsidR="009868C6" w:rsidRDefault="009868C6" w:rsidP="00786E0F">
      <w:r>
        <w:t>Stephen H Wall</w:t>
      </w:r>
    </w:p>
    <w:p w:rsidR="00D2400B" w:rsidRDefault="00D2400B" w:rsidP="00786E0F">
      <w:pPr>
        <w:rPr>
          <w:sz w:val="24"/>
          <w:szCs w:val="24"/>
        </w:rPr>
      </w:pPr>
      <w:r w:rsidRPr="00F72DB5">
        <w:t>Director</w:t>
      </w:r>
    </w:p>
    <w:p w:rsidR="00D2400B" w:rsidRDefault="00D2400B" w:rsidP="00786E0F">
      <w:pPr>
        <w:tabs>
          <w:tab w:val="left" w:pos="2835"/>
          <w:tab w:val="left" w:pos="5103"/>
        </w:tabs>
      </w:pPr>
      <w:r>
        <w:t>Dated this</w:t>
      </w:r>
      <w:r w:rsidR="009868C6">
        <w:t xml:space="preserve"> 29</w:t>
      </w:r>
      <w:r w:rsidR="009868C6" w:rsidRPr="009868C6">
        <w:rPr>
          <w:vertAlign w:val="superscript"/>
        </w:rPr>
        <w:t>th</w:t>
      </w:r>
      <w:r w:rsidR="009868C6">
        <w:t xml:space="preserve"> </w:t>
      </w:r>
      <w:r>
        <w:t>da</w:t>
      </w:r>
      <w:r w:rsidR="00910318">
        <w:t>y of</w:t>
      </w:r>
      <w:r w:rsidR="009868C6">
        <w:t xml:space="preserve"> October</w:t>
      </w:r>
      <w:r>
        <w:t>2013</w:t>
      </w:r>
      <w:r>
        <w:br w:type="page"/>
      </w:r>
    </w:p>
    <w:p w:rsidR="00D2400B" w:rsidRPr="003226E6" w:rsidRDefault="00D2400B" w:rsidP="00786E0F">
      <w:pPr>
        <w:pStyle w:val="Heading1"/>
      </w:pPr>
      <w:bookmarkStart w:id="10" w:name="_Toc370126171"/>
      <w:r w:rsidRPr="003226E6">
        <w:lastRenderedPageBreak/>
        <w:t>Auditor’s Independence Declaration</w:t>
      </w:r>
      <w:bookmarkEnd w:id="10"/>
    </w:p>
    <w:p w:rsidR="00910318" w:rsidRPr="00E171F7" w:rsidRDefault="00910318" w:rsidP="00786E0F">
      <w:pPr>
        <w:spacing w:after="0"/>
        <w:rPr>
          <w:b/>
          <w:sz w:val="24"/>
          <w:szCs w:val="24"/>
        </w:rPr>
      </w:pPr>
      <w:r w:rsidRPr="00E171F7">
        <w:rPr>
          <w:b/>
        </w:rPr>
        <w:t>For the Year ended 30 June 2013</w:t>
      </w:r>
    </w:p>
    <w:p w:rsidR="00D2400B" w:rsidRPr="003226E6" w:rsidRDefault="00D2400B" w:rsidP="00786E0F">
      <w:pPr>
        <w:spacing w:before="480"/>
      </w:pPr>
      <w:r w:rsidRPr="003226E6">
        <w:t>The Board of Directors</w:t>
      </w:r>
      <w:r w:rsidR="00910318">
        <w:br/>
      </w:r>
      <w:r w:rsidRPr="003226E6">
        <w:t>Media Access Australia</w:t>
      </w:r>
      <w:r w:rsidR="00910318">
        <w:br/>
      </w:r>
      <w:r w:rsidRPr="003226E6">
        <w:t>Level 3</w:t>
      </w:r>
      <w:r w:rsidR="00910318">
        <w:br/>
      </w:r>
      <w:r w:rsidRPr="003226E6">
        <w:t>616-620 Harris Street</w:t>
      </w:r>
      <w:r w:rsidR="00910318">
        <w:br/>
      </w:r>
      <w:r w:rsidRPr="003226E6">
        <w:t>ULTIMO NSW 2007</w:t>
      </w:r>
    </w:p>
    <w:p w:rsidR="00D2400B" w:rsidRPr="003226E6" w:rsidRDefault="00D2400B" w:rsidP="00786E0F">
      <w:pPr>
        <w:spacing w:before="480" w:after="840"/>
      </w:pPr>
      <w:r w:rsidRPr="003226E6">
        <w:t>25 October 2013</w:t>
      </w:r>
    </w:p>
    <w:p w:rsidR="00D2400B" w:rsidRPr="003226E6" w:rsidRDefault="00D2400B" w:rsidP="00786E0F">
      <w:r w:rsidRPr="003226E6">
        <w:t>Dear Board Members,</w:t>
      </w:r>
    </w:p>
    <w:p w:rsidR="00D2400B" w:rsidRPr="003226E6" w:rsidRDefault="00D2400B" w:rsidP="00786E0F">
      <w:pPr>
        <w:jc w:val="center"/>
        <w:rPr>
          <w:b/>
        </w:rPr>
      </w:pPr>
      <w:r w:rsidRPr="003226E6">
        <w:rPr>
          <w:b/>
        </w:rPr>
        <w:t>Media Access Australia</w:t>
      </w:r>
    </w:p>
    <w:p w:rsidR="00D2400B" w:rsidRPr="003226E6" w:rsidRDefault="00D2400B" w:rsidP="00786E0F">
      <w:r w:rsidRPr="003226E6">
        <w:t>In accordance with section 307C of the Corporations Act 2001, I am pleased to provide the following declaration of independence to the directors of Media Access Australia.</w:t>
      </w:r>
    </w:p>
    <w:p w:rsidR="00D2400B" w:rsidRPr="003226E6" w:rsidRDefault="00D2400B" w:rsidP="00786E0F">
      <w:r w:rsidRPr="003226E6">
        <w:t xml:space="preserve">As the auditor of the financial statements of Media Access Australia for the financial year ended 30 June 2013, I declare to the best of my knowledge and belief, there have been: </w:t>
      </w:r>
    </w:p>
    <w:p w:rsidR="00D2400B" w:rsidRPr="003226E6" w:rsidRDefault="00D2400B" w:rsidP="00786E0F">
      <w:pPr>
        <w:pStyle w:val="ListParagraph"/>
        <w:numPr>
          <w:ilvl w:val="0"/>
          <w:numId w:val="31"/>
        </w:numPr>
        <w:ind w:left="946" w:hanging="357"/>
        <w:contextualSpacing w:val="0"/>
      </w:pPr>
      <w:r w:rsidRPr="003226E6">
        <w:t>no contraventions the auditor independence requirements of the Corporations Act 2001 in relation to the audit; and</w:t>
      </w:r>
    </w:p>
    <w:p w:rsidR="00D2400B" w:rsidRPr="003226E6" w:rsidRDefault="00D2400B" w:rsidP="00786E0F">
      <w:pPr>
        <w:pStyle w:val="ListParagraph"/>
        <w:numPr>
          <w:ilvl w:val="0"/>
          <w:numId w:val="31"/>
        </w:numPr>
        <w:ind w:left="946" w:hanging="357"/>
        <w:contextualSpacing w:val="0"/>
      </w:pPr>
      <w:proofErr w:type="gramStart"/>
      <w:r w:rsidRPr="003226E6">
        <w:t>assessing</w:t>
      </w:r>
      <w:proofErr w:type="gramEnd"/>
      <w:r w:rsidRPr="003226E6">
        <w:t xml:space="preserve"> the appropriateness of the accounting policies and disclosures used and the reasonableness of significant accounting estimates made by the directors. </w:t>
      </w:r>
    </w:p>
    <w:p w:rsidR="00D2400B" w:rsidRPr="003226E6" w:rsidRDefault="00D2400B" w:rsidP="00786E0F">
      <w:pPr>
        <w:spacing w:after="960"/>
      </w:pPr>
      <w:r w:rsidRPr="003226E6">
        <w:t>Yours sincerely</w:t>
      </w:r>
    </w:p>
    <w:p w:rsidR="00D2400B" w:rsidRPr="000828D0" w:rsidRDefault="00D2400B" w:rsidP="00786E0F">
      <w:r w:rsidRPr="003226E6">
        <w:t>Adams Triglone</w:t>
      </w:r>
      <w:r w:rsidR="00910318">
        <w:br/>
      </w:r>
      <w:r w:rsidRPr="00910318">
        <w:t>H W Triglone</w:t>
      </w:r>
      <w:r w:rsidR="00910318">
        <w:br/>
      </w:r>
      <w:r w:rsidRPr="00910318">
        <w:t>Chartered Accountant</w:t>
      </w:r>
    </w:p>
    <w:p w:rsidR="00D2400B" w:rsidRDefault="00D2400B" w:rsidP="00D2400B">
      <w:pPr>
        <w:widowControl w:val="0"/>
        <w:autoSpaceDE w:val="0"/>
        <w:autoSpaceDN w:val="0"/>
        <w:adjustRightInd w:val="0"/>
        <w:spacing w:after="0" w:line="240" w:lineRule="exact"/>
        <w:rPr>
          <w:rFonts w:ascii="Times New Roman" w:hAnsi="Times New Roman"/>
          <w:sz w:val="24"/>
          <w:szCs w:val="24"/>
        </w:rPr>
      </w:pPr>
    </w:p>
    <w:p w:rsidR="00D2400B" w:rsidRDefault="00D2400B" w:rsidP="00D2400B">
      <w:pPr>
        <w:pStyle w:val="acctsacctname"/>
        <w:jc w:val="left"/>
        <w:rPr>
          <w:color w:val="auto"/>
        </w:rPr>
        <w:sectPr w:rsidR="00D2400B" w:rsidSect="000C5471">
          <w:pgSz w:w="11904" w:h="16836"/>
          <w:pgMar w:top="1440" w:right="1440" w:bottom="1440" w:left="1440" w:header="720" w:footer="152" w:gutter="0"/>
          <w:cols w:space="720"/>
          <w:noEndnote/>
          <w:docGrid w:linePitch="299"/>
        </w:sectPr>
      </w:pPr>
    </w:p>
    <w:p w:rsidR="00D2400B" w:rsidRPr="003226E6" w:rsidRDefault="00D2400B" w:rsidP="00E408A8">
      <w:pPr>
        <w:pStyle w:val="Heading1"/>
        <w:spacing w:after="480"/>
        <w:rPr>
          <w:rFonts w:eastAsia="Times New Roman"/>
        </w:rPr>
      </w:pPr>
      <w:bookmarkStart w:id="11" w:name="_Toc370126172"/>
      <w:r w:rsidRPr="003226E6">
        <w:rPr>
          <w:rFonts w:eastAsia="Times New Roman"/>
        </w:rPr>
        <w:lastRenderedPageBreak/>
        <w:t>Independent Auditor’s Report</w:t>
      </w:r>
      <w:r w:rsidRPr="003226E6">
        <w:rPr>
          <w:rFonts w:eastAsia="Times New Roman"/>
        </w:rPr>
        <w:br/>
        <w:t>to the members of</w:t>
      </w:r>
      <w:r w:rsidRPr="003226E6">
        <w:rPr>
          <w:rFonts w:eastAsia="Times New Roman"/>
        </w:rPr>
        <w:br/>
        <w:t>Media Access Australia</w:t>
      </w:r>
      <w:bookmarkEnd w:id="11"/>
    </w:p>
    <w:p w:rsidR="00D2400B" w:rsidRPr="00374873" w:rsidRDefault="00D2400B" w:rsidP="00E408A8">
      <w:pPr>
        <w:keepNext/>
        <w:keepLines/>
        <w:widowControl w:val="0"/>
        <w:autoSpaceDE w:val="0"/>
        <w:autoSpaceDN w:val="0"/>
        <w:spacing w:after="240" w:line="240" w:lineRule="auto"/>
        <w:ind w:firstLine="11"/>
        <w:outlineLvl w:val="6"/>
        <w:rPr>
          <w:rStyle w:val="Strong"/>
          <w:rFonts w:ascii="Arial" w:hAnsi="Arial" w:cs="Arial"/>
        </w:rPr>
      </w:pPr>
      <w:r w:rsidRPr="00374873">
        <w:rPr>
          <w:rStyle w:val="Strong"/>
          <w:rFonts w:ascii="Arial" w:hAnsi="Arial" w:cs="Arial"/>
        </w:rPr>
        <w:t>Report on the Financial Report</w:t>
      </w:r>
    </w:p>
    <w:p w:rsidR="00D2400B" w:rsidRPr="00374873" w:rsidRDefault="00D2400B" w:rsidP="00E408A8">
      <w:pPr>
        <w:keepLines/>
        <w:tabs>
          <w:tab w:val="left" w:pos="0"/>
        </w:tabs>
        <w:autoSpaceDE w:val="0"/>
        <w:autoSpaceDN w:val="0"/>
        <w:spacing w:after="240" w:line="240" w:lineRule="auto"/>
        <w:ind w:firstLine="11"/>
        <w:rPr>
          <w:rFonts w:ascii="Arial" w:eastAsia="Times New Roman" w:hAnsi="Arial" w:cs="Arial"/>
        </w:rPr>
      </w:pPr>
      <w:r w:rsidRPr="00374873">
        <w:rPr>
          <w:rFonts w:ascii="Arial" w:eastAsia="Times New Roman" w:hAnsi="Arial" w:cs="Arial"/>
        </w:rPr>
        <w:t xml:space="preserve">We have audited the accompanying financial report of </w:t>
      </w:r>
      <w:r w:rsidRPr="00374873">
        <w:rPr>
          <w:rFonts w:ascii="Arial" w:eastAsia="Times New Roman" w:hAnsi="Arial"/>
        </w:rPr>
        <w:t>Media Access Australia</w:t>
      </w:r>
      <w:r w:rsidRPr="00374873">
        <w:rPr>
          <w:rFonts w:ascii="Arial" w:eastAsia="Times New Roman" w:hAnsi="Arial" w:cs="Arial"/>
        </w:rPr>
        <w:t>, which comprises the balance sheet as at 30 June 2013, and statement of comprehensive income and statement of change in equity for the year ended on that date, a summary of significant accounting policies, other explanatory notes and the directors’ declaration.</w:t>
      </w:r>
    </w:p>
    <w:p w:rsidR="00D2400B" w:rsidRPr="00374873" w:rsidRDefault="00D2400B" w:rsidP="00E408A8">
      <w:pPr>
        <w:keepNext/>
        <w:keepLines/>
        <w:widowControl w:val="0"/>
        <w:autoSpaceDE w:val="0"/>
        <w:autoSpaceDN w:val="0"/>
        <w:spacing w:after="240" w:line="240" w:lineRule="auto"/>
        <w:outlineLvl w:val="6"/>
        <w:rPr>
          <w:rStyle w:val="Strong"/>
          <w:rFonts w:ascii="Arial" w:hAnsi="Arial" w:cs="Arial"/>
        </w:rPr>
      </w:pPr>
      <w:r w:rsidRPr="00374873">
        <w:rPr>
          <w:rStyle w:val="Strong"/>
          <w:rFonts w:ascii="Arial" w:hAnsi="Arial" w:cs="Arial"/>
        </w:rPr>
        <w:t>Directors' Responsibility for the Financial Report</w:t>
      </w:r>
    </w:p>
    <w:p w:rsidR="00D2400B" w:rsidRPr="00374873" w:rsidRDefault="00D2400B" w:rsidP="00E408A8">
      <w:pPr>
        <w:keepLines/>
        <w:tabs>
          <w:tab w:val="left" w:pos="0"/>
        </w:tabs>
        <w:autoSpaceDE w:val="0"/>
        <w:autoSpaceDN w:val="0"/>
        <w:spacing w:after="240" w:line="240" w:lineRule="auto"/>
        <w:rPr>
          <w:rFonts w:ascii="Arial" w:eastAsia="Times New Roman" w:hAnsi="Arial" w:cs="Arial"/>
        </w:rPr>
      </w:pPr>
      <w:r w:rsidRPr="00374873">
        <w:rPr>
          <w:rFonts w:ascii="Arial" w:eastAsia="Times New Roman" w:hAnsi="Arial" w:cs="Arial"/>
        </w:rPr>
        <w:t xml:space="preserve">The directors of the company are responsible for the preparation and fair presentation of the financial report in accordance with Australian Accounting Standards (including the Australian Accounting Interpretations) and the </w:t>
      </w:r>
      <w:r w:rsidRPr="00374873">
        <w:rPr>
          <w:rFonts w:ascii="Arial" w:eastAsia="Times New Roman" w:hAnsi="Arial" w:cs="Arial"/>
          <w:i/>
          <w:iCs/>
        </w:rPr>
        <w:t>Corporations Act 2001</w:t>
      </w:r>
      <w:r w:rsidRPr="00374873">
        <w:rPr>
          <w:rFonts w:ascii="Arial" w:eastAsia="Times New Roman" w:hAnsi="Arial" w:cs="Arial"/>
        </w:rPr>
        <w:t>. This responsibility includes establishing and maintaining internal control relevant to the preparation and fair presentation of the financial report that is free from material misstatement, whether due to fraud or error; selecting and applying appropriate accounting policies; and making accounting estimates that are reasonable in the circumstances.</w:t>
      </w:r>
    </w:p>
    <w:p w:rsidR="00D2400B" w:rsidRPr="00374873" w:rsidRDefault="00D2400B" w:rsidP="00E408A8">
      <w:pPr>
        <w:keepNext/>
        <w:keepLines/>
        <w:widowControl w:val="0"/>
        <w:autoSpaceDE w:val="0"/>
        <w:autoSpaceDN w:val="0"/>
        <w:spacing w:after="240" w:line="240" w:lineRule="auto"/>
        <w:outlineLvl w:val="6"/>
        <w:rPr>
          <w:rFonts w:ascii="Arial" w:eastAsia="Times New Roman" w:hAnsi="Arial" w:cs="Arial"/>
          <w:b/>
          <w:bCs/>
        </w:rPr>
      </w:pPr>
      <w:r w:rsidRPr="00374873">
        <w:rPr>
          <w:rStyle w:val="Strong"/>
          <w:rFonts w:ascii="Arial" w:hAnsi="Arial" w:cs="Arial"/>
        </w:rPr>
        <w:t>Auditor's Responsibility</w:t>
      </w:r>
    </w:p>
    <w:p w:rsidR="00D2400B" w:rsidRPr="00374873" w:rsidRDefault="00D2400B" w:rsidP="00E408A8">
      <w:pPr>
        <w:keepLines/>
        <w:tabs>
          <w:tab w:val="left" w:pos="0"/>
        </w:tabs>
        <w:autoSpaceDE w:val="0"/>
        <w:autoSpaceDN w:val="0"/>
        <w:spacing w:after="0" w:line="240" w:lineRule="auto"/>
        <w:rPr>
          <w:rFonts w:ascii="Arial" w:eastAsia="Times New Roman" w:hAnsi="Arial" w:cs="Arial"/>
        </w:rPr>
      </w:pPr>
      <w:r w:rsidRPr="00374873">
        <w:rPr>
          <w:rFonts w:ascii="Arial" w:eastAsia="Times New Roman" w:hAnsi="Arial" w:cs="Arial"/>
        </w:rPr>
        <w:t>Our responsibility is to express an opinion on the financial report based on our audit. We conducted our audit in accordance with Australian Auditing Standards. These Auditing Standards require that we comply with relevant ethical requirements relating to audit engagements and plan and perform the audit to obtain reasonable assurance whether the financial report is free from material misstatement.</w:t>
      </w:r>
    </w:p>
    <w:p w:rsidR="00D2400B" w:rsidRPr="00374873" w:rsidRDefault="00D2400B" w:rsidP="00E408A8">
      <w:pPr>
        <w:keepLines/>
        <w:tabs>
          <w:tab w:val="left" w:pos="0"/>
        </w:tabs>
        <w:autoSpaceDE w:val="0"/>
        <w:autoSpaceDN w:val="0"/>
        <w:spacing w:after="0" w:line="240" w:lineRule="auto"/>
        <w:rPr>
          <w:rFonts w:ascii="Arial" w:eastAsia="Times New Roman" w:hAnsi="Arial" w:cs="Arial"/>
        </w:rPr>
      </w:pPr>
    </w:p>
    <w:p w:rsidR="00D2400B" w:rsidRPr="00374873" w:rsidRDefault="00D2400B" w:rsidP="00E408A8">
      <w:pPr>
        <w:keepLines/>
        <w:tabs>
          <w:tab w:val="left" w:pos="0"/>
        </w:tabs>
        <w:autoSpaceDE w:val="0"/>
        <w:autoSpaceDN w:val="0"/>
        <w:spacing w:after="240" w:line="240" w:lineRule="auto"/>
        <w:rPr>
          <w:rFonts w:ascii="Arial" w:eastAsia="Times New Roman" w:hAnsi="Arial" w:cs="Arial"/>
        </w:rPr>
      </w:pPr>
      <w:r w:rsidRPr="00374873">
        <w:rPr>
          <w:rFonts w:ascii="Arial" w:eastAsia="Times New Roman" w:hAnsi="Arial" w:cs="Arial"/>
        </w:rPr>
        <w:t>An audit involves performing procedures to obtain audit evidence about the amounts and disclosures in the financial report. The procedures selected depend on the auditor's judgment, including the assessment of the risks of material misstatement of the financial report, whether due to fraud or error. In making those risk assessments, the auditor considers internal control relevant to the entity's preparation and fair presentation of the financial report in order to design audit procedures that are appropriate in the circumstances, but not for the purpose of expressing an opinion on the effectiveness of the entity's internal control. An audit also includes evaluating the appropriateness of accounting policies used and the reasonableness of accounting estimates made by the directors, as well as evaluating the overall presentation of the financial report.</w:t>
      </w:r>
    </w:p>
    <w:p w:rsidR="00D2400B" w:rsidRPr="00374873" w:rsidRDefault="00D2400B" w:rsidP="00E408A8">
      <w:pPr>
        <w:keepLines/>
        <w:tabs>
          <w:tab w:val="left" w:pos="0"/>
        </w:tabs>
        <w:autoSpaceDE w:val="0"/>
        <w:autoSpaceDN w:val="0"/>
        <w:spacing w:after="0" w:line="240" w:lineRule="auto"/>
        <w:rPr>
          <w:rFonts w:ascii="Arial" w:eastAsia="Times New Roman" w:hAnsi="Arial" w:cs="Arial"/>
        </w:rPr>
      </w:pPr>
      <w:r w:rsidRPr="00374873">
        <w:rPr>
          <w:rFonts w:ascii="Arial" w:eastAsia="Times New Roman" w:hAnsi="Arial" w:cs="Arial"/>
        </w:rPr>
        <w:t>We believe that the audit evidence we have obtained is sufficient and appropriate to provide a basis for our audit opinion.</w:t>
      </w:r>
    </w:p>
    <w:p w:rsidR="00D2400B" w:rsidRPr="00374873" w:rsidRDefault="00D2400B" w:rsidP="00E408A8">
      <w:pPr>
        <w:rPr>
          <w:rFonts w:ascii="Arial" w:eastAsia="Times New Roman" w:hAnsi="Arial" w:cs="Arial"/>
          <w:b/>
          <w:bCs/>
          <w:color w:val="000000" w:themeColor="text1"/>
        </w:rPr>
      </w:pPr>
      <w:r w:rsidRPr="000A2BB8">
        <w:rPr>
          <w:rFonts w:eastAsia="Times New Roman"/>
          <w:highlight w:val="yellow"/>
        </w:rPr>
        <w:br w:type="page"/>
      </w:r>
      <w:r w:rsidRPr="00374873">
        <w:rPr>
          <w:rFonts w:ascii="Arial" w:eastAsia="Times New Roman" w:hAnsi="Arial" w:cs="Arial"/>
          <w:b/>
          <w:bCs/>
          <w:color w:val="000000" w:themeColor="text1"/>
        </w:rPr>
        <w:lastRenderedPageBreak/>
        <w:t>Independence</w:t>
      </w:r>
    </w:p>
    <w:p w:rsidR="00D2400B" w:rsidRPr="00374873" w:rsidRDefault="00D2400B" w:rsidP="00E408A8">
      <w:pPr>
        <w:keepLines/>
        <w:tabs>
          <w:tab w:val="left" w:pos="0"/>
        </w:tabs>
        <w:autoSpaceDE w:val="0"/>
        <w:autoSpaceDN w:val="0"/>
        <w:spacing w:after="0" w:line="240" w:lineRule="auto"/>
        <w:rPr>
          <w:rFonts w:ascii="Arial" w:eastAsia="Times New Roman" w:hAnsi="Arial" w:cs="Arial"/>
          <w:color w:val="000000" w:themeColor="text1"/>
        </w:rPr>
      </w:pPr>
      <w:r w:rsidRPr="00374873">
        <w:rPr>
          <w:rFonts w:ascii="Arial" w:eastAsia="Times New Roman" w:hAnsi="Arial" w:cs="Arial"/>
          <w:color w:val="000000" w:themeColor="text1"/>
        </w:rPr>
        <w:t xml:space="preserve">In conducting our audit, we have complied with the independence requirements of the </w:t>
      </w:r>
      <w:r w:rsidRPr="00374873">
        <w:rPr>
          <w:rFonts w:ascii="Arial" w:eastAsia="Times New Roman" w:hAnsi="Arial" w:cs="Arial"/>
          <w:i/>
          <w:iCs/>
          <w:color w:val="000000" w:themeColor="text1"/>
        </w:rPr>
        <w:t>Corporations Act 2001</w:t>
      </w:r>
      <w:r w:rsidRPr="00374873">
        <w:rPr>
          <w:rFonts w:ascii="Arial" w:eastAsia="Times New Roman" w:hAnsi="Arial" w:cs="Arial"/>
          <w:color w:val="000000" w:themeColor="text1"/>
        </w:rPr>
        <w:t xml:space="preserve">. We confirm that the independence declaration required by the </w:t>
      </w:r>
      <w:r w:rsidRPr="00374873">
        <w:rPr>
          <w:rFonts w:ascii="Arial" w:eastAsia="Times New Roman" w:hAnsi="Arial" w:cs="Arial"/>
          <w:i/>
          <w:iCs/>
          <w:color w:val="000000" w:themeColor="text1"/>
        </w:rPr>
        <w:t>Corporations Act 2001</w:t>
      </w:r>
      <w:r w:rsidRPr="00374873">
        <w:rPr>
          <w:rFonts w:ascii="Arial" w:eastAsia="Times New Roman" w:hAnsi="Arial" w:cs="Arial"/>
          <w:color w:val="000000" w:themeColor="text1"/>
        </w:rPr>
        <w:t xml:space="preserve">, provided to the directors of </w:t>
      </w:r>
      <w:r w:rsidRPr="00374873">
        <w:rPr>
          <w:rFonts w:ascii="Arial" w:eastAsia="Times New Roman" w:hAnsi="Arial"/>
          <w:color w:val="000000" w:themeColor="text1"/>
        </w:rPr>
        <w:t>Media Access Australia</w:t>
      </w:r>
      <w:r w:rsidRPr="00374873">
        <w:rPr>
          <w:rFonts w:ascii="Arial" w:eastAsia="Times New Roman" w:hAnsi="Arial" w:cs="Arial"/>
          <w:color w:val="000000" w:themeColor="text1"/>
        </w:rPr>
        <w:t xml:space="preserve"> on 25 October 2013 would be in the same terms if provided to the directors as at the date of this auditor's report.</w:t>
      </w:r>
    </w:p>
    <w:p w:rsidR="00D2400B" w:rsidRPr="00374873" w:rsidRDefault="00D2400B" w:rsidP="00E408A8">
      <w:pPr>
        <w:keepLines/>
        <w:tabs>
          <w:tab w:val="left" w:pos="0"/>
        </w:tabs>
        <w:autoSpaceDE w:val="0"/>
        <w:autoSpaceDN w:val="0"/>
        <w:spacing w:after="0" w:line="240" w:lineRule="auto"/>
        <w:rPr>
          <w:rFonts w:ascii="Arial" w:eastAsia="Times New Roman" w:hAnsi="Arial" w:cs="Arial"/>
          <w:color w:val="000000" w:themeColor="text1"/>
        </w:rPr>
      </w:pPr>
    </w:p>
    <w:p w:rsidR="00D2400B" w:rsidRPr="00374873" w:rsidRDefault="00D2400B" w:rsidP="00E408A8">
      <w:pPr>
        <w:keepNext/>
        <w:keepLines/>
        <w:widowControl w:val="0"/>
        <w:autoSpaceDE w:val="0"/>
        <w:autoSpaceDN w:val="0"/>
        <w:spacing w:after="240" w:line="240" w:lineRule="auto"/>
        <w:outlineLvl w:val="6"/>
        <w:rPr>
          <w:rFonts w:ascii="Arial" w:eastAsia="Times New Roman" w:hAnsi="Arial" w:cs="Arial"/>
          <w:b/>
          <w:bCs/>
          <w:color w:val="000000" w:themeColor="text1"/>
        </w:rPr>
      </w:pPr>
      <w:r w:rsidRPr="00374873">
        <w:rPr>
          <w:rFonts w:ascii="Arial" w:eastAsia="Times New Roman" w:hAnsi="Arial" w:cs="Arial"/>
          <w:b/>
          <w:bCs/>
          <w:color w:val="000000" w:themeColor="text1"/>
        </w:rPr>
        <w:t>Auditor's Opinion</w:t>
      </w:r>
    </w:p>
    <w:p w:rsidR="00D2400B" w:rsidRPr="00374873" w:rsidRDefault="00D2400B" w:rsidP="00E408A8">
      <w:pPr>
        <w:keepLines/>
        <w:tabs>
          <w:tab w:val="left" w:pos="0"/>
        </w:tabs>
        <w:autoSpaceDE w:val="0"/>
        <w:autoSpaceDN w:val="0"/>
        <w:spacing w:after="0" w:line="240" w:lineRule="auto"/>
        <w:rPr>
          <w:rFonts w:ascii="Arial" w:eastAsia="Times New Roman" w:hAnsi="Arial" w:cs="Arial"/>
          <w:color w:val="000000" w:themeColor="text1"/>
        </w:rPr>
      </w:pPr>
      <w:r w:rsidRPr="00374873">
        <w:rPr>
          <w:rFonts w:ascii="Arial" w:eastAsia="Times New Roman" w:hAnsi="Arial" w:cs="Arial"/>
          <w:color w:val="000000" w:themeColor="text1"/>
        </w:rPr>
        <w:t xml:space="preserve">In our opinion the financial report of </w:t>
      </w:r>
      <w:r w:rsidRPr="00374873">
        <w:rPr>
          <w:rFonts w:ascii="Arial" w:eastAsia="Times New Roman" w:hAnsi="Arial"/>
          <w:color w:val="000000" w:themeColor="text1"/>
        </w:rPr>
        <w:t>Media Access Australia</w:t>
      </w:r>
      <w:r w:rsidRPr="00374873">
        <w:rPr>
          <w:rFonts w:ascii="Arial" w:eastAsia="Times New Roman" w:hAnsi="Arial" w:cs="Arial"/>
          <w:color w:val="000000" w:themeColor="text1"/>
        </w:rPr>
        <w:t xml:space="preserve"> is in accordance with the </w:t>
      </w:r>
      <w:r w:rsidRPr="00374873">
        <w:rPr>
          <w:rFonts w:ascii="Arial" w:eastAsia="Times New Roman" w:hAnsi="Arial" w:cs="Arial"/>
          <w:i/>
          <w:iCs/>
          <w:color w:val="000000" w:themeColor="text1"/>
        </w:rPr>
        <w:t>Corporations Act 2001</w:t>
      </w:r>
      <w:r w:rsidRPr="00374873">
        <w:rPr>
          <w:rFonts w:ascii="Arial" w:eastAsia="Times New Roman" w:hAnsi="Arial" w:cs="Arial"/>
          <w:color w:val="000000" w:themeColor="text1"/>
        </w:rPr>
        <w:t>, including:</w:t>
      </w:r>
    </w:p>
    <w:p w:rsidR="00D2400B" w:rsidRPr="00374873" w:rsidRDefault="00D2400B" w:rsidP="00E408A8">
      <w:pPr>
        <w:keepLines/>
        <w:tabs>
          <w:tab w:val="left" w:pos="0"/>
        </w:tabs>
        <w:autoSpaceDE w:val="0"/>
        <w:autoSpaceDN w:val="0"/>
        <w:spacing w:after="0" w:line="240" w:lineRule="auto"/>
        <w:rPr>
          <w:rFonts w:ascii="Arial" w:eastAsia="Times New Roman" w:hAnsi="Arial" w:cs="Arial"/>
          <w:color w:val="000000" w:themeColor="text1"/>
        </w:rPr>
      </w:pPr>
    </w:p>
    <w:p w:rsidR="00D2400B" w:rsidRPr="00374873" w:rsidRDefault="00D2400B" w:rsidP="00E408A8">
      <w:pPr>
        <w:pStyle w:val="ListParagraph"/>
        <w:keepLines/>
        <w:numPr>
          <w:ilvl w:val="0"/>
          <w:numId w:val="7"/>
        </w:numPr>
        <w:tabs>
          <w:tab w:val="left" w:pos="0"/>
        </w:tabs>
        <w:autoSpaceDE w:val="0"/>
        <w:autoSpaceDN w:val="0"/>
        <w:ind w:left="0" w:hanging="357"/>
        <w:contextualSpacing w:val="0"/>
        <w:rPr>
          <w:rFonts w:ascii="Arial" w:eastAsia="Times New Roman" w:hAnsi="Arial" w:cs="Arial"/>
          <w:color w:val="000000" w:themeColor="text1"/>
        </w:rPr>
      </w:pPr>
      <w:r w:rsidRPr="00374873">
        <w:rPr>
          <w:rFonts w:ascii="Arial" w:eastAsia="Times New Roman" w:hAnsi="Arial" w:cs="Arial"/>
          <w:color w:val="000000" w:themeColor="text1"/>
        </w:rPr>
        <w:t>giving a true and fair view of the company’s financial position as at 30 June 2013 and of its performance for the year on that date; and</w:t>
      </w:r>
    </w:p>
    <w:p w:rsidR="00D2400B" w:rsidRPr="00374873" w:rsidRDefault="00D2400B" w:rsidP="00E408A8">
      <w:pPr>
        <w:pStyle w:val="ListParagraph"/>
        <w:keepLines/>
        <w:numPr>
          <w:ilvl w:val="0"/>
          <w:numId w:val="7"/>
        </w:numPr>
        <w:tabs>
          <w:tab w:val="left" w:pos="0"/>
        </w:tabs>
        <w:autoSpaceDE w:val="0"/>
        <w:autoSpaceDN w:val="0"/>
        <w:spacing w:after="0"/>
        <w:ind w:left="0"/>
        <w:rPr>
          <w:rFonts w:ascii="Arial" w:eastAsia="Times New Roman" w:hAnsi="Arial" w:cs="Arial"/>
          <w:color w:val="000000" w:themeColor="text1"/>
        </w:rPr>
      </w:pPr>
      <w:proofErr w:type="gramStart"/>
      <w:r w:rsidRPr="00374873">
        <w:rPr>
          <w:rFonts w:ascii="Arial" w:eastAsia="Times New Roman" w:hAnsi="Arial" w:cs="Arial"/>
          <w:color w:val="000000" w:themeColor="text1"/>
        </w:rPr>
        <w:t>complying</w:t>
      </w:r>
      <w:proofErr w:type="gramEnd"/>
      <w:r w:rsidRPr="00374873">
        <w:rPr>
          <w:rFonts w:ascii="Arial" w:eastAsia="Times New Roman" w:hAnsi="Arial" w:cs="Arial"/>
          <w:color w:val="000000" w:themeColor="text1"/>
        </w:rPr>
        <w:t xml:space="preserve"> with Australian Accounting Standards (including the Australian Accounting Interpretations) and the Corporations Regulations 2001.</w:t>
      </w:r>
    </w:p>
    <w:p w:rsidR="00D2400B" w:rsidRPr="00374873" w:rsidRDefault="00D2400B" w:rsidP="00E408A8">
      <w:pPr>
        <w:keepLines/>
        <w:tabs>
          <w:tab w:val="left" w:pos="0"/>
          <w:tab w:val="left" w:pos="5954"/>
        </w:tabs>
        <w:autoSpaceDE w:val="0"/>
        <w:autoSpaceDN w:val="0"/>
        <w:spacing w:before="1200" w:after="120" w:line="240" w:lineRule="auto"/>
        <w:rPr>
          <w:rFonts w:ascii="Arial" w:eastAsia="Times New Roman" w:hAnsi="Arial" w:cs="Arial"/>
          <w:color w:val="000000" w:themeColor="text1"/>
        </w:rPr>
      </w:pPr>
      <w:r w:rsidRPr="00374873">
        <w:rPr>
          <w:rFonts w:ascii="Arial" w:eastAsia="Times New Roman" w:hAnsi="Arial" w:cs="Arial"/>
          <w:color w:val="000000" w:themeColor="text1"/>
        </w:rPr>
        <w:t>Adams Triglone</w:t>
      </w:r>
      <w:r w:rsidRPr="00374873">
        <w:rPr>
          <w:rFonts w:ascii="Arial" w:eastAsia="Times New Roman" w:hAnsi="Arial" w:cs="Arial"/>
          <w:color w:val="000000" w:themeColor="text1"/>
        </w:rPr>
        <w:tab/>
        <w:t>H W Triglone</w:t>
      </w:r>
    </w:p>
    <w:p w:rsidR="00D2400B" w:rsidRPr="00374873" w:rsidRDefault="00D2400B" w:rsidP="00E408A8">
      <w:pPr>
        <w:keepLines/>
        <w:tabs>
          <w:tab w:val="left" w:pos="0"/>
          <w:tab w:val="left" w:pos="5954"/>
        </w:tabs>
        <w:autoSpaceDE w:val="0"/>
        <w:autoSpaceDN w:val="0"/>
        <w:spacing w:after="120" w:line="240" w:lineRule="auto"/>
        <w:rPr>
          <w:rFonts w:ascii="Arial" w:eastAsia="Times New Roman" w:hAnsi="Arial" w:cs="Arial"/>
          <w:color w:val="000000" w:themeColor="text1"/>
        </w:rPr>
      </w:pPr>
      <w:r w:rsidRPr="00374873">
        <w:rPr>
          <w:rFonts w:ascii="Arial" w:eastAsia="Times New Roman" w:hAnsi="Arial" w:cs="Arial"/>
          <w:color w:val="000000" w:themeColor="text1"/>
        </w:rPr>
        <w:t>Chartered Accountants</w:t>
      </w:r>
      <w:r w:rsidRPr="00374873">
        <w:rPr>
          <w:rFonts w:ascii="Arial" w:eastAsia="Times New Roman" w:hAnsi="Arial" w:cs="Arial"/>
          <w:color w:val="000000" w:themeColor="text1"/>
        </w:rPr>
        <w:tab/>
        <w:t>Partner</w:t>
      </w:r>
    </w:p>
    <w:p w:rsidR="00D2400B" w:rsidRPr="00374873" w:rsidRDefault="00D2400B" w:rsidP="00E408A8">
      <w:pPr>
        <w:keepLines/>
        <w:tabs>
          <w:tab w:val="left" w:pos="0"/>
          <w:tab w:val="left" w:pos="5954"/>
        </w:tabs>
        <w:autoSpaceDE w:val="0"/>
        <w:autoSpaceDN w:val="0"/>
        <w:spacing w:after="480" w:line="240" w:lineRule="auto"/>
        <w:rPr>
          <w:rFonts w:ascii="Arial" w:eastAsia="Times New Roman" w:hAnsi="Arial" w:cs="Arial"/>
          <w:color w:val="000000" w:themeColor="text1"/>
        </w:rPr>
      </w:pPr>
      <w:r w:rsidRPr="00374873">
        <w:rPr>
          <w:rFonts w:ascii="Arial" w:eastAsia="Times New Roman" w:hAnsi="Arial" w:cs="Arial"/>
          <w:color w:val="000000" w:themeColor="text1"/>
        </w:rPr>
        <w:t>Baulkham Hills</w:t>
      </w:r>
    </w:p>
    <w:p w:rsidR="002E40EE" w:rsidRPr="002E40EE" w:rsidRDefault="00D2400B" w:rsidP="00E408A8">
      <w:pPr>
        <w:keepLines/>
        <w:tabs>
          <w:tab w:val="left" w:pos="0"/>
          <w:tab w:val="left" w:pos="3544"/>
          <w:tab w:val="left" w:pos="5954"/>
        </w:tabs>
        <w:autoSpaceDE w:val="0"/>
        <w:autoSpaceDN w:val="0"/>
        <w:spacing w:after="120" w:line="240" w:lineRule="auto"/>
      </w:pPr>
      <w:r w:rsidRPr="003226E6">
        <w:rPr>
          <w:rFonts w:ascii="Arial" w:eastAsia="Times New Roman" w:hAnsi="Arial" w:cs="Arial"/>
        </w:rPr>
        <w:t>Dated this</w:t>
      </w:r>
      <w:r>
        <w:rPr>
          <w:rFonts w:ascii="Arial" w:eastAsia="Times New Roman" w:hAnsi="Arial" w:cs="Arial"/>
        </w:rPr>
        <w:tab/>
        <w:t>day of</w:t>
      </w:r>
      <w:r>
        <w:rPr>
          <w:rFonts w:ascii="Arial" w:eastAsia="Times New Roman" w:hAnsi="Arial" w:cs="Arial"/>
        </w:rPr>
        <w:tab/>
        <w:t>2013</w:t>
      </w:r>
    </w:p>
    <w:sectPr w:rsidR="002E40EE" w:rsidRPr="002E40EE" w:rsidSect="00786E0F">
      <w:footerReference w:type="default" r:id="rId19"/>
      <w:pgSz w:w="11906" w:h="16838"/>
      <w:pgMar w:top="1440" w:right="1440" w:bottom="1440" w:left="1440"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E8F" w:rsidRDefault="00BA4E8F" w:rsidP="00A7286E">
      <w:r>
        <w:separator/>
      </w:r>
    </w:p>
  </w:endnote>
  <w:endnote w:type="continuationSeparator" w:id="0">
    <w:p w:rsidR="00BA4E8F" w:rsidRDefault="00BA4E8F" w:rsidP="00A72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val="0"/>
      </w:rPr>
      <w:id w:val="-685836339"/>
      <w:docPartObj>
        <w:docPartGallery w:val="Page Numbers (Bottom of Page)"/>
        <w:docPartUnique/>
      </w:docPartObj>
    </w:sdtPr>
    <w:sdtEndPr>
      <w:rPr>
        <w:noProof/>
      </w:rPr>
    </w:sdtEndPr>
    <w:sdtContent>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4861"/>
        </w:tblGrid>
        <w:tr w:rsidR="007F67A5" w:rsidTr="00EE6DB0">
          <w:trPr>
            <w:cnfStyle w:val="100000000000" w:firstRow="1" w:lastRow="0" w:firstColumn="0" w:lastColumn="0" w:oddVBand="0" w:evenVBand="0" w:oddHBand="0" w:evenHBand="0" w:firstRowFirstColumn="0" w:firstRowLastColumn="0" w:lastRowFirstColumn="0" w:lastRowLastColumn="0"/>
          </w:trPr>
          <w:tc>
            <w:tcPr>
              <w:tcW w:w="4603" w:type="dxa"/>
              <w:vAlign w:val="bottom"/>
            </w:tcPr>
            <w:p w:rsidR="007F67A5" w:rsidRDefault="007F67A5" w:rsidP="00712543">
              <w:pPr>
                <w:pStyle w:val="Footer"/>
                <w:tabs>
                  <w:tab w:val="clear" w:pos="255"/>
                </w:tabs>
              </w:pPr>
              <w:r>
                <w:rPr>
                  <w:noProof/>
                  <w:lang w:val="en-AU" w:eastAsia="en-AU"/>
                </w:rPr>
                <w:drawing>
                  <wp:inline distT="0" distB="0" distL="0" distR="0" wp14:anchorId="329F3DA2" wp14:editId="220C3E27">
                    <wp:extent cx="1234578" cy="6480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ternal.png"/>
                            <pic:cNvPicPr/>
                          </pic:nvPicPr>
                          <pic:blipFill>
                            <a:blip r:embed="rId1">
                              <a:extLst>
                                <a:ext uri="{28A0092B-C50C-407E-A947-70E740481C1C}">
                                  <a14:useLocalDpi xmlns:a14="http://schemas.microsoft.com/office/drawing/2010/main" val="0"/>
                                </a:ext>
                              </a:extLst>
                            </a:blip>
                            <a:stretch>
                              <a:fillRect/>
                            </a:stretch>
                          </pic:blipFill>
                          <pic:spPr>
                            <a:xfrm>
                              <a:off x="0" y="0"/>
                              <a:ext cx="1234578" cy="648000"/>
                            </a:xfrm>
                            <a:prstGeom prst="rect">
                              <a:avLst/>
                            </a:prstGeom>
                          </pic:spPr>
                        </pic:pic>
                      </a:graphicData>
                    </a:graphic>
                  </wp:inline>
                </w:drawing>
              </w:r>
            </w:p>
          </w:tc>
          <w:tc>
            <w:tcPr>
              <w:tcW w:w="4861" w:type="dxa"/>
              <w:vAlign w:val="bottom"/>
            </w:tcPr>
            <w:p w:rsidR="007F67A5" w:rsidRPr="00CF3218" w:rsidRDefault="007F67A5" w:rsidP="00ED467E">
              <w:pPr>
                <w:pStyle w:val="Footer"/>
                <w:jc w:val="right"/>
                <w:rPr>
                  <w:noProof/>
                  <w:sz w:val="18"/>
                  <w:szCs w:val="18"/>
                  <w:lang w:val="en-AU" w:eastAsia="en-AU"/>
                </w:rPr>
              </w:pPr>
              <w:r w:rsidRPr="00CF3218">
                <w:rPr>
                  <w:noProof/>
                  <w:color w:val="000000" w:themeColor="text2"/>
                  <w:sz w:val="18"/>
                  <w:szCs w:val="18"/>
                  <w:lang w:val="en-AU" w:eastAsia="en-AU"/>
                </w:rPr>
                <w:fldChar w:fldCharType="begin"/>
              </w:r>
              <w:r w:rsidRPr="00CF3218">
                <w:rPr>
                  <w:noProof/>
                  <w:color w:val="000000" w:themeColor="text2"/>
                  <w:sz w:val="18"/>
                  <w:szCs w:val="18"/>
                  <w:lang w:val="en-AU" w:eastAsia="en-AU"/>
                </w:rPr>
                <w:instrText xml:space="preserve"> PAGE   \* MERGEFORMAT </w:instrText>
              </w:r>
              <w:r w:rsidRPr="00CF3218">
                <w:rPr>
                  <w:noProof/>
                  <w:color w:val="000000" w:themeColor="text2"/>
                  <w:sz w:val="18"/>
                  <w:szCs w:val="18"/>
                  <w:lang w:val="en-AU" w:eastAsia="en-AU"/>
                </w:rPr>
                <w:fldChar w:fldCharType="separate"/>
              </w:r>
              <w:r w:rsidR="009868C6">
                <w:rPr>
                  <w:noProof/>
                  <w:color w:val="000000" w:themeColor="text2"/>
                  <w:sz w:val="18"/>
                  <w:szCs w:val="18"/>
                  <w:lang w:val="en-AU" w:eastAsia="en-AU"/>
                </w:rPr>
                <w:t>9</w:t>
              </w:r>
              <w:r w:rsidRPr="00CF3218">
                <w:rPr>
                  <w:noProof/>
                  <w:color w:val="000000" w:themeColor="text2"/>
                  <w:sz w:val="18"/>
                  <w:szCs w:val="18"/>
                  <w:lang w:val="en-AU" w:eastAsia="en-AU"/>
                </w:rPr>
                <w:fldChar w:fldCharType="end"/>
              </w:r>
            </w:p>
          </w:tc>
        </w:tr>
      </w:tbl>
      <w:p w:rsidR="007F67A5" w:rsidRDefault="009868C6" w:rsidP="004B6628">
        <w:pPr>
          <w:pStyle w:val="Footer"/>
        </w:pPr>
      </w:p>
    </w:sdtContent>
  </w:sdt>
  <w:p w:rsidR="007F67A5" w:rsidRPr="00164128" w:rsidRDefault="007F67A5" w:rsidP="004B6628">
    <w:pPr>
      <w:pStyle w:val="1pixel"/>
      <w:tabs>
        <w:tab w:val="clear" w:pos="255"/>
      </w:tabs>
      <w:ind w:left="567"/>
      <w:rPr>
        <w:lang w:val="en-A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val="0"/>
      </w:rPr>
      <w:id w:val="-311790333"/>
      <w:docPartObj>
        <w:docPartGallery w:val="Page Numbers (Bottom of Page)"/>
        <w:docPartUnique/>
      </w:docPartObj>
    </w:sdtPr>
    <w:sdtEndPr>
      <w:rPr>
        <w:noProof/>
      </w:rPr>
    </w:sdtEndPr>
    <w:sdtContent>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4861"/>
        </w:tblGrid>
        <w:tr w:rsidR="007F67A5" w:rsidTr="00EE6DB0">
          <w:trPr>
            <w:cnfStyle w:val="100000000000" w:firstRow="1" w:lastRow="0" w:firstColumn="0" w:lastColumn="0" w:oddVBand="0" w:evenVBand="0" w:oddHBand="0" w:evenHBand="0" w:firstRowFirstColumn="0" w:firstRowLastColumn="0" w:lastRowFirstColumn="0" w:lastRowLastColumn="0"/>
          </w:trPr>
          <w:tc>
            <w:tcPr>
              <w:tcW w:w="4603" w:type="dxa"/>
              <w:vAlign w:val="bottom"/>
            </w:tcPr>
            <w:p w:rsidR="007F67A5" w:rsidRDefault="007F67A5" w:rsidP="00712543">
              <w:pPr>
                <w:pStyle w:val="Footer"/>
                <w:tabs>
                  <w:tab w:val="clear" w:pos="255"/>
                </w:tabs>
              </w:pPr>
              <w:r>
                <w:rPr>
                  <w:noProof/>
                  <w:lang w:val="en-AU" w:eastAsia="en-AU"/>
                </w:rPr>
                <w:drawing>
                  <wp:inline distT="0" distB="0" distL="0" distR="0" wp14:anchorId="0B44D551" wp14:editId="6AB83175">
                    <wp:extent cx="1234578" cy="648000"/>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ternal.png"/>
                            <pic:cNvPicPr/>
                          </pic:nvPicPr>
                          <pic:blipFill>
                            <a:blip r:embed="rId1">
                              <a:extLst>
                                <a:ext uri="{28A0092B-C50C-407E-A947-70E740481C1C}">
                                  <a14:useLocalDpi xmlns:a14="http://schemas.microsoft.com/office/drawing/2010/main" val="0"/>
                                </a:ext>
                              </a:extLst>
                            </a:blip>
                            <a:stretch>
                              <a:fillRect/>
                            </a:stretch>
                          </pic:blipFill>
                          <pic:spPr>
                            <a:xfrm>
                              <a:off x="0" y="0"/>
                              <a:ext cx="1234578" cy="648000"/>
                            </a:xfrm>
                            <a:prstGeom prst="rect">
                              <a:avLst/>
                            </a:prstGeom>
                          </pic:spPr>
                        </pic:pic>
                      </a:graphicData>
                    </a:graphic>
                  </wp:inline>
                </w:drawing>
              </w:r>
            </w:p>
          </w:tc>
          <w:tc>
            <w:tcPr>
              <w:tcW w:w="4861" w:type="dxa"/>
              <w:vAlign w:val="bottom"/>
            </w:tcPr>
            <w:p w:rsidR="007F67A5" w:rsidRPr="00CF3218" w:rsidRDefault="007F67A5" w:rsidP="00ED467E">
              <w:pPr>
                <w:pStyle w:val="Footer"/>
                <w:jc w:val="right"/>
                <w:rPr>
                  <w:noProof/>
                  <w:sz w:val="18"/>
                  <w:szCs w:val="18"/>
                  <w:lang w:val="en-AU" w:eastAsia="en-AU"/>
                </w:rPr>
              </w:pPr>
              <w:r w:rsidRPr="00CF3218">
                <w:rPr>
                  <w:noProof/>
                  <w:color w:val="000000" w:themeColor="text2"/>
                  <w:sz w:val="18"/>
                  <w:szCs w:val="18"/>
                  <w:lang w:val="en-AU" w:eastAsia="en-AU"/>
                </w:rPr>
                <w:fldChar w:fldCharType="begin"/>
              </w:r>
              <w:r w:rsidRPr="00CF3218">
                <w:rPr>
                  <w:noProof/>
                  <w:color w:val="000000" w:themeColor="text2"/>
                  <w:sz w:val="18"/>
                  <w:szCs w:val="18"/>
                  <w:lang w:val="en-AU" w:eastAsia="en-AU"/>
                </w:rPr>
                <w:instrText xml:space="preserve"> PAGE   \* MERGEFORMAT </w:instrText>
              </w:r>
              <w:r w:rsidRPr="00CF3218">
                <w:rPr>
                  <w:noProof/>
                  <w:color w:val="000000" w:themeColor="text2"/>
                  <w:sz w:val="18"/>
                  <w:szCs w:val="18"/>
                  <w:lang w:val="en-AU" w:eastAsia="en-AU"/>
                </w:rPr>
                <w:fldChar w:fldCharType="separate"/>
              </w:r>
              <w:r w:rsidR="009868C6">
                <w:rPr>
                  <w:noProof/>
                  <w:color w:val="000000" w:themeColor="text2"/>
                  <w:sz w:val="18"/>
                  <w:szCs w:val="18"/>
                  <w:lang w:val="en-AU" w:eastAsia="en-AU"/>
                </w:rPr>
                <w:t>15</w:t>
              </w:r>
              <w:r w:rsidRPr="00CF3218">
                <w:rPr>
                  <w:noProof/>
                  <w:color w:val="000000" w:themeColor="text2"/>
                  <w:sz w:val="18"/>
                  <w:szCs w:val="18"/>
                  <w:lang w:val="en-AU" w:eastAsia="en-AU"/>
                </w:rPr>
                <w:fldChar w:fldCharType="end"/>
              </w:r>
            </w:p>
          </w:tc>
        </w:tr>
      </w:tbl>
      <w:p w:rsidR="007F67A5" w:rsidRDefault="009868C6" w:rsidP="004B6628">
        <w:pPr>
          <w:pStyle w:val="Footer"/>
        </w:pPr>
      </w:p>
    </w:sdtContent>
  </w:sdt>
  <w:p w:rsidR="007F67A5" w:rsidRPr="00164128" w:rsidRDefault="007F67A5" w:rsidP="004B6628">
    <w:pPr>
      <w:pStyle w:val="1pixel"/>
      <w:tabs>
        <w:tab w:val="clear" w:pos="255"/>
      </w:tabs>
      <w:ind w:left="567"/>
      <w:rPr>
        <w:lang w:val="en-A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4861"/>
    </w:tblGrid>
    <w:tr w:rsidR="007F67A5" w:rsidTr="00134384">
      <w:trPr>
        <w:cnfStyle w:val="100000000000" w:firstRow="1" w:lastRow="0" w:firstColumn="0" w:lastColumn="0" w:oddVBand="0" w:evenVBand="0" w:oddHBand="0" w:evenHBand="0" w:firstRowFirstColumn="0" w:firstRowLastColumn="0" w:lastRowFirstColumn="0" w:lastRowLastColumn="0"/>
      </w:trPr>
      <w:tc>
        <w:tcPr>
          <w:tcW w:w="4603" w:type="dxa"/>
          <w:vAlign w:val="bottom"/>
        </w:tcPr>
        <w:p w:rsidR="007F67A5" w:rsidRDefault="007F67A5" w:rsidP="00712543">
          <w:pPr>
            <w:pStyle w:val="Footer"/>
          </w:pPr>
          <w:r>
            <w:rPr>
              <w:noProof/>
              <w:lang w:val="en-AU" w:eastAsia="en-AU"/>
            </w:rPr>
            <w:drawing>
              <wp:inline distT="0" distB="0" distL="0" distR="0" wp14:anchorId="4BF9424F" wp14:editId="3471B39B">
                <wp:extent cx="1234578" cy="648000"/>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ternal.png"/>
                        <pic:cNvPicPr/>
                      </pic:nvPicPr>
                      <pic:blipFill>
                        <a:blip r:embed="rId1">
                          <a:extLst>
                            <a:ext uri="{28A0092B-C50C-407E-A947-70E740481C1C}">
                              <a14:useLocalDpi xmlns:a14="http://schemas.microsoft.com/office/drawing/2010/main" val="0"/>
                            </a:ext>
                          </a:extLst>
                        </a:blip>
                        <a:stretch>
                          <a:fillRect/>
                        </a:stretch>
                      </pic:blipFill>
                      <pic:spPr>
                        <a:xfrm>
                          <a:off x="0" y="0"/>
                          <a:ext cx="1234578" cy="648000"/>
                        </a:xfrm>
                        <a:prstGeom prst="rect">
                          <a:avLst/>
                        </a:prstGeom>
                      </pic:spPr>
                    </pic:pic>
                  </a:graphicData>
                </a:graphic>
              </wp:inline>
            </w:drawing>
          </w:r>
        </w:p>
      </w:tc>
      <w:tc>
        <w:tcPr>
          <w:tcW w:w="4861" w:type="dxa"/>
          <w:vAlign w:val="bottom"/>
        </w:tcPr>
        <w:p w:rsidR="007F67A5" w:rsidRPr="00CF3218" w:rsidRDefault="007F67A5" w:rsidP="00134384">
          <w:pPr>
            <w:pStyle w:val="Footer"/>
            <w:tabs>
              <w:tab w:val="left" w:pos="4645"/>
            </w:tabs>
            <w:ind w:right="-108"/>
            <w:jc w:val="right"/>
            <w:rPr>
              <w:noProof/>
              <w:sz w:val="18"/>
              <w:szCs w:val="18"/>
              <w:lang w:val="en-AU" w:eastAsia="en-AU"/>
            </w:rPr>
          </w:pPr>
          <w:r w:rsidRPr="00CF3218">
            <w:rPr>
              <w:noProof/>
              <w:color w:val="000000" w:themeColor="text2"/>
              <w:sz w:val="18"/>
              <w:szCs w:val="18"/>
              <w:lang w:val="en-AU" w:eastAsia="en-AU"/>
            </w:rPr>
            <w:fldChar w:fldCharType="begin"/>
          </w:r>
          <w:r w:rsidRPr="00CF3218">
            <w:rPr>
              <w:noProof/>
              <w:color w:val="000000" w:themeColor="text2"/>
              <w:sz w:val="18"/>
              <w:szCs w:val="18"/>
              <w:lang w:val="en-AU" w:eastAsia="en-AU"/>
            </w:rPr>
            <w:instrText xml:space="preserve"> PAGE   \* MERGEFORMAT </w:instrText>
          </w:r>
          <w:r w:rsidRPr="00CF3218">
            <w:rPr>
              <w:noProof/>
              <w:color w:val="000000" w:themeColor="text2"/>
              <w:sz w:val="18"/>
              <w:szCs w:val="18"/>
              <w:lang w:val="en-AU" w:eastAsia="en-AU"/>
            </w:rPr>
            <w:fldChar w:fldCharType="separate"/>
          </w:r>
          <w:r w:rsidR="009868C6">
            <w:rPr>
              <w:noProof/>
              <w:color w:val="000000" w:themeColor="text2"/>
              <w:sz w:val="18"/>
              <w:szCs w:val="18"/>
              <w:lang w:val="en-AU" w:eastAsia="en-AU"/>
            </w:rPr>
            <w:t>34</w:t>
          </w:r>
          <w:r w:rsidRPr="00CF3218">
            <w:rPr>
              <w:noProof/>
              <w:color w:val="000000" w:themeColor="text2"/>
              <w:sz w:val="18"/>
              <w:szCs w:val="18"/>
              <w:lang w:val="en-AU" w:eastAsia="en-AU"/>
            </w:rPr>
            <w:fldChar w:fldCharType="end"/>
          </w:r>
        </w:p>
      </w:tc>
    </w:tr>
  </w:tbl>
  <w:p w:rsidR="007F67A5" w:rsidRPr="00CF3218" w:rsidRDefault="007F67A5" w:rsidP="00CF3218">
    <w:pPr>
      <w:pStyle w:val="1pixe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E8F" w:rsidRDefault="00BA4E8F" w:rsidP="00A7286E">
      <w:r>
        <w:separator/>
      </w:r>
    </w:p>
  </w:footnote>
  <w:footnote w:type="continuationSeparator" w:id="0">
    <w:p w:rsidR="00BA4E8F" w:rsidRDefault="00BA4E8F" w:rsidP="00A728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7A5" w:rsidRDefault="007F67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7A5" w:rsidRPr="00D2400B" w:rsidRDefault="007F67A5" w:rsidP="00523CA1">
    <w:pPr>
      <w:jc w:val="center"/>
      <w:rPr>
        <w:b/>
        <w:sz w:val="24"/>
        <w:szCs w:val="24"/>
      </w:rPr>
    </w:pPr>
    <w:r w:rsidRPr="00D2400B">
      <w:rPr>
        <w:b/>
      </w:rPr>
      <w:t>MEDIA ACCESS AUSTRALIA</w:t>
    </w:r>
    <w:r w:rsidRPr="00D2400B">
      <w:rPr>
        <w:b/>
      </w:rPr>
      <w:br/>
    </w:r>
    <w:r w:rsidRPr="00D2400B">
      <w:rPr>
        <w:b/>
        <w:sz w:val="24"/>
        <w:szCs w:val="24"/>
      </w:rPr>
      <w:t>ABN 75 002 259 154</w:t>
    </w:r>
  </w:p>
  <w:p w:rsidR="007F67A5" w:rsidRDefault="007F67A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7A5" w:rsidRPr="00523CA1" w:rsidRDefault="007F67A5" w:rsidP="00523CA1">
    <w:pPr>
      <w:pStyle w:val="Header"/>
      <w:tabs>
        <w:tab w:val="left" w:pos="2340"/>
      </w:tabs>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5EE2"/>
    <w:multiLevelType w:val="multilevel"/>
    <w:tmpl w:val="1CBA4B04"/>
    <w:lvl w:ilvl="0">
      <w:start w:val="1"/>
      <w:numFmt w:val="decimal"/>
      <w:lvlText w:val="%1)"/>
      <w:lvlJc w:val="left"/>
      <w:pPr>
        <w:ind w:left="1800" w:hanging="360"/>
      </w:pPr>
    </w:lvl>
    <w:lvl w:ilvl="1">
      <w:start w:val="1"/>
      <w:numFmt w:val="lowerLetter"/>
      <w:lvlText w:val="%2)"/>
      <w:lvlJc w:val="left"/>
      <w:pPr>
        <w:ind w:left="2160" w:hanging="360"/>
      </w:pPr>
      <w:rPr>
        <w:sz w:val="32"/>
      </w:r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
    <w:nsid w:val="033E7FC2"/>
    <w:multiLevelType w:val="hybridMultilevel"/>
    <w:tmpl w:val="01B61F86"/>
    <w:lvl w:ilvl="0" w:tplc="D62C1288">
      <w:start w:val="1"/>
      <w:numFmt w:val="decimal"/>
      <w:lvlText w:val="%1."/>
      <w:lvlJc w:val="left"/>
      <w:pPr>
        <w:ind w:left="1725" w:hanging="555"/>
      </w:pPr>
      <w:rPr>
        <w:rFonts w:asciiTheme="minorHAnsi" w:hAnsiTheme="minorHAnsi" w:cstheme="minorHAnsi" w:hint="default"/>
        <w:b w:val="0"/>
        <w:sz w:val="36"/>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
    <w:nsid w:val="06B90665"/>
    <w:multiLevelType w:val="hybridMultilevel"/>
    <w:tmpl w:val="4D308D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97D2DDB"/>
    <w:multiLevelType w:val="hybridMultilevel"/>
    <w:tmpl w:val="AF109FA6"/>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
    <w:nsid w:val="09E427E4"/>
    <w:multiLevelType w:val="hybridMultilevel"/>
    <w:tmpl w:val="6DD63DFE"/>
    <w:lvl w:ilvl="0" w:tplc="D62C1288">
      <w:start w:val="1"/>
      <w:numFmt w:val="decimal"/>
      <w:lvlText w:val="%1."/>
      <w:lvlJc w:val="left"/>
      <w:pPr>
        <w:ind w:left="1725" w:hanging="555"/>
      </w:pPr>
      <w:rPr>
        <w:rFonts w:asciiTheme="minorHAnsi" w:hAnsiTheme="minorHAnsi" w:cstheme="minorHAnsi" w:hint="default"/>
        <w:b w:val="0"/>
        <w:sz w:val="36"/>
      </w:rPr>
    </w:lvl>
    <w:lvl w:ilvl="1" w:tplc="04090019">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5">
    <w:nsid w:val="112449A8"/>
    <w:multiLevelType w:val="hybridMultilevel"/>
    <w:tmpl w:val="DB04CE90"/>
    <w:lvl w:ilvl="0" w:tplc="D62C1288">
      <w:start w:val="1"/>
      <w:numFmt w:val="decimal"/>
      <w:lvlText w:val="%1."/>
      <w:lvlJc w:val="left"/>
      <w:pPr>
        <w:ind w:left="1275" w:hanging="555"/>
      </w:pPr>
      <w:rPr>
        <w:rFonts w:asciiTheme="minorHAnsi" w:hAnsiTheme="minorHAnsi" w:cstheme="minorHAnsi" w:hint="default"/>
        <w:b w:val="0"/>
        <w:sz w:val="36"/>
      </w:rPr>
    </w:lvl>
    <w:lvl w:ilvl="1" w:tplc="0C090019" w:tentative="1">
      <w:start w:val="1"/>
      <w:numFmt w:val="lowerLetter"/>
      <w:lvlText w:val="%2."/>
      <w:lvlJc w:val="left"/>
      <w:pPr>
        <w:ind w:left="990" w:hanging="360"/>
      </w:pPr>
    </w:lvl>
    <w:lvl w:ilvl="2" w:tplc="0C09001B" w:tentative="1">
      <w:start w:val="1"/>
      <w:numFmt w:val="lowerRoman"/>
      <w:lvlText w:val="%3."/>
      <w:lvlJc w:val="right"/>
      <w:pPr>
        <w:ind w:left="1710" w:hanging="180"/>
      </w:pPr>
    </w:lvl>
    <w:lvl w:ilvl="3" w:tplc="0C09000F" w:tentative="1">
      <w:start w:val="1"/>
      <w:numFmt w:val="decimal"/>
      <w:lvlText w:val="%4."/>
      <w:lvlJc w:val="left"/>
      <w:pPr>
        <w:ind w:left="2430" w:hanging="360"/>
      </w:pPr>
    </w:lvl>
    <w:lvl w:ilvl="4" w:tplc="0C090019" w:tentative="1">
      <w:start w:val="1"/>
      <w:numFmt w:val="lowerLetter"/>
      <w:lvlText w:val="%5."/>
      <w:lvlJc w:val="left"/>
      <w:pPr>
        <w:ind w:left="3150" w:hanging="360"/>
      </w:pPr>
    </w:lvl>
    <w:lvl w:ilvl="5" w:tplc="0C09001B" w:tentative="1">
      <w:start w:val="1"/>
      <w:numFmt w:val="lowerRoman"/>
      <w:lvlText w:val="%6."/>
      <w:lvlJc w:val="right"/>
      <w:pPr>
        <w:ind w:left="3870" w:hanging="180"/>
      </w:pPr>
    </w:lvl>
    <w:lvl w:ilvl="6" w:tplc="0C09000F" w:tentative="1">
      <w:start w:val="1"/>
      <w:numFmt w:val="decimal"/>
      <w:lvlText w:val="%7."/>
      <w:lvlJc w:val="left"/>
      <w:pPr>
        <w:ind w:left="4590" w:hanging="360"/>
      </w:pPr>
    </w:lvl>
    <w:lvl w:ilvl="7" w:tplc="0C090019" w:tentative="1">
      <w:start w:val="1"/>
      <w:numFmt w:val="lowerLetter"/>
      <w:lvlText w:val="%8."/>
      <w:lvlJc w:val="left"/>
      <w:pPr>
        <w:ind w:left="5310" w:hanging="360"/>
      </w:pPr>
    </w:lvl>
    <w:lvl w:ilvl="8" w:tplc="0C09001B" w:tentative="1">
      <w:start w:val="1"/>
      <w:numFmt w:val="lowerRoman"/>
      <w:lvlText w:val="%9."/>
      <w:lvlJc w:val="right"/>
      <w:pPr>
        <w:ind w:left="6030" w:hanging="180"/>
      </w:pPr>
    </w:lvl>
  </w:abstractNum>
  <w:abstractNum w:abstractNumId="6">
    <w:nsid w:val="1149620A"/>
    <w:multiLevelType w:val="multilevel"/>
    <w:tmpl w:val="0C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7">
    <w:nsid w:val="12AD3AE9"/>
    <w:multiLevelType w:val="multilevel"/>
    <w:tmpl w:val="391EBED6"/>
    <w:lvl w:ilvl="0">
      <w:start w:val="1"/>
      <w:numFmt w:val="decimal"/>
      <w:lvlText w:val="%1)"/>
      <w:lvlJc w:val="left"/>
      <w:pPr>
        <w:ind w:left="1797" w:hanging="357"/>
      </w:pPr>
      <w:rPr>
        <w:rFonts w:hint="default"/>
      </w:rPr>
    </w:lvl>
    <w:lvl w:ilvl="1">
      <w:start w:val="1"/>
      <w:numFmt w:val="lowerLetter"/>
      <w:lvlText w:val="%2)"/>
      <w:lvlJc w:val="left"/>
      <w:pPr>
        <w:ind w:left="2154" w:hanging="357"/>
      </w:pPr>
      <w:rPr>
        <w:rFonts w:hint="default"/>
      </w:rPr>
    </w:lvl>
    <w:lvl w:ilvl="2">
      <w:start w:val="1"/>
      <w:numFmt w:val="lowerRoman"/>
      <w:lvlText w:val="%3)"/>
      <w:lvlJc w:val="left"/>
      <w:pPr>
        <w:ind w:left="2511" w:hanging="357"/>
      </w:pPr>
      <w:rPr>
        <w:rFonts w:hint="default"/>
      </w:rPr>
    </w:lvl>
    <w:lvl w:ilvl="3">
      <w:start w:val="1"/>
      <w:numFmt w:val="decimal"/>
      <w:lvlText w:val="(%4)"/>
      <w:lvlJc w:val="left"/>
      <w:pPr>
        <w:ind w:left="2868" w:hanging="357"/>
      </w:pPr>
      <w:rPr>
        <w:rFonts w:hint="default"/>
      </w:rPr>
    </w:lvl>
    <w:lvl w:ilvl="4">
      <w:start w:val="1"/>
      <w:numFmt w:val="lowerLetter"/>
      <w:lvlText w:val="(%5)"/>
      <w:lvlJc w:val="left"/>
      <w:pPr>
        <w:ind w:left="3225" w:hanging="357"/>
      </w:pPr>
      <w:rPr>
        <w:rFonts w:hint="default"/>
      </w:rPr>
    </w:lvl>
    <w:lvl w:ilvl="5">
      <w:start w:val="1"/>
      <w:numFmt w:val="lowerRoman"/>
      <w:lvlText w:val="(%6)"/>
      <w:lvlJc w:val="left"/>
      <w:pPr>
        <w:ind w:left="3582" w:hanging="357"/>
      </w:pPr>
      <w:rPr>
        <w:rFonts w:hint="default"/>
      </w:rPr>
    </w:lvl>
    <w:lvl w:ilvl="6">
      <w:start w:val="1"/>
      <w:numFmt w:val="decimal"/>
      <w:lvlText w:val="%7."/>
      <w:lvlJc w:val="left"/>
      <w:pPr>
        <w:ind w:left="3939" w:hanging="357"/>
      </w:pPr>
      <w:rPr>
        <w:rFonts w:hint="default"/>
      </w:rPr>
    </w:lvl>
    <w:lvl w:ilvl="7">
      <w:start w:val="1"/>
      <w:numFmt w:val="lowerLetter"/>
      <w:lvlText w:val="%8."/>
      <w:lvlJc w:val="left"/>
      <w:pPr>
        <w:ind w:left="4296" w:hanging="357"/>
      </w:pPr>
      <w:rPr>
        <w:rFonts w:hint="default"/>
      </w:rPr>
    </w:lvl>
    <w:lvl w:ilvl="8">
      <w:start w:val="1"/>
      <w:numFmt w:val="lowerRoman"/>
      <w:lvlText w:val="%9."/>
      <w:lvlJc w:val="left"/>
      <w:pPr>
        <w:ind w:left="4653" w:hanging="357"/>
      </w:pPr>
      <w:rPr>
        <w:rFonts w:hint="default"/>
      </w:rPr>
    </w:lvl>
  </w:abstractNum>
  <w:abstractNum w:abstractNumId="8">
    <w:nsid w:val="18687C87"/>
    <w:multiLevelType w:val="hybridMultilevel"/>
    <w:tmpl w:val="249002F8"/>
    <w:lvl w:ilvl="0" w:tplc="D62C1288">
      <w:start w:val="1"/>
      <w:numFmt w:val="decimal"/>
      <w:lvlText w:val="%1."/>
      <w:lvlJc w:val="left"/>
      <w:pPr>
        <w:ind w:left="1725" w:hanging="555"/>
      </w:pPr>
      <w:rPr>
        <w:rFonts w:asciiTheme="minorHAnsi" w:hAnsiTheme="minorHAnsi" w:cstheme="minorHAnsi" w:hint="default"/>
        <w:b w:val="0"/>
        <w:sz w:val="36"/>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8BB01F5"/>
    <w:multiLevelType w:val="hybridMultilevel"/>
    <w:tmpl w:val="1986ADC2"/>
    <w:lvl w:ilvl="0" w:tplc="B470AD62">
      <w:numFmt w:val="bullet"/>
      <w:lvlText w:val="-"/>
      <w:lvlJc w:val="left"/>
      <w:pPr>
        <w:ind w:left="1554" w:hanging="360"/>
      </w:pPr>
      <w:rPr>
        <w:rFonts w:ascii="Arial" w:eastAsiaTheme="minorHAnsi" w:hAnsi="Arial" w:cs="Arial" w:hint="default"/>
      </w:rPr>
    </w:lvl>
    <w:lvl w:ilvl="1" w:tplc="0C090003" w:tentative="1">
      <w:start w:val="1"/>
      <w:numFmt w:val="bullet"/>
      <w:lvlText w:val="o"/>
      <w:lvlJc w:val="left"/>
      <w:pPr>
        <w:ind w:left="2274" w:hanging="360"/>
      </w:pPr>
      <w:rPr>
        <w:rFonts w:ascii="Courier New" w:hAnsi="Courier New" w:cs="Courier New" w:hint="default"/>
      </w:rPr>
    </w:lvl>
    <w:lvl w:ilvl="2" w:tplc="0C090005" w:tentative="1">
      <w:start w:val="1"/>
      <w:numFmt w:val="bullet"/>
      <w:lvlText w:val=""/>
      <w:lvlJc w:val="left"/>
      <w:pPr>
        <w:ind w:left="2994" w:hanging="360"/>
      </w:pPr>
      <w:rPr>
        <w:rFonts w:ascii="Wingdings" w:hAnsi="Wingdings" w:hint="default"/>
      </w:rPr>
    </w:lvl>
    <w:lvl w:ilvl="3" w:tplc="0C090001" w:tentative="1">
      <w:start w:val="1"/>
      <w:numFmt w:val="bullet"/>
      <w:lvlText w:val=""/>
      <w:lvlJc w:val="left"/>
      <w:pPr>
        <w:ind w:left="3714" w:hanging="360"/>
      </w:pPr>
      <w:rPr>
        <w:rFonts w:ascii="Symbol" w:hAnsi="Symbol" w:hint="default"/>
      </w:rPr>
    </w:lvl>
    <w:lvl w:ilvl="4" w:tplc="0C090003" w:tentative="1">
      <w:start w:val="1"/>
      <w:numFmt w:val="bullet"/>
      <w:lvlText w:val="o"/>
      <w:lvlJc w:val="left"/>
      <w:pPr>
        <w:ind w:left="4434" w:hanging="360"/>
      </w:pPr>
      <w:rPr>
        <w:rFonts w:ascii="Courier New" w:hAnsi="Courier New" w:cs="Courier New" w:hint="default"/>
      </w:rPr>
    </w:lvl>
    <w:lvl w:ilvl="5" w:tplc="0C090005" w:tentative="1">
      <w:start w:val="1"/>
      <w:numFmt w:val="bullet"/>
      <w:lvlText w:val=""/>
      <w:lvlJc w:val="left"/>
      <w:pPr>
        <w:ind w:left="5154" w:hanging="360"/>
      </w:pPr>
      <w:rPr>
        <w:rFonts w:ascii="Wingdings" w:hAnsi="Wingdings" w:hint="default"/>
      </w:rPr>
    </w:lvl>
    <w:lvl w:ilvl="6" w:tplc="0C090001" w:tentative="1">
      <w:start w:val="1"/>
      <w:numFmt w:val="bullet"/>
      <w:lvlText w:val=""/>
      <w:lvlJc w:val="left"/>
      <w:pPr>
        <w:ind w:left="5874" w:hanging="360"/>
      </w:pPr>
      <w:rPr>
        <w:rFonts w:ascii="Symbol" w:hAnsi="Symbol" w:hint="default"/>
      </w:rPr>
    </w:lvl>
    <w:lvl w:ilvl="7" w:tplc="0C090003" w:tentative="1">
      <w:start w:val="1"/>
      <w:numFmt w:val="bullet"/>
      <w:lvlText w:val="o"/>
      <w:lvlJc w:val="left"/>
      <w:pPr>
        <w:ind w:left="6594" w:hanging="360"/>
      </w:pPr>
      <w:rPr>
        <w:rFonts w:ascii="Courier New" w:hAnsi="Courier New" w:cs="Courier New" w:hint="default"/>
      </w:rPr>
    </w:lvl>
    <w:lvl w:ilvl="8" w:tplc="0C090005" w:tentative="1">
      <w:start w:val="1"/>
      <w:numFmt w:val="bullet"/>
      <w:lvlText w:val=""/>
      <w:lvlJc w:val="left"/>
      <w:pPr>
        <w:ind w:left="7314" w:hanging="360"/>
      </w:pPr>
      <w:rPr>
        <w:rFonts w:ascii="Wingdings" w:hAnsi="Wingdings" w:hint="default"/>
      </w:rPr>
    </w:lvl>
  </w:abstractNum>
  <w:abstractNum w:abstractNumId="10">
    <w:nsid w:val="19075CC9"/>
    <w:multiLevelType w:val="hybridMultilevel"/>
    <w:tmpl w:val="9DB84CB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A0D2D04"/>
    <w:multiLevelType w:val="multilevel"/>
    <w:tmpl w:val="1CBA4B04"/>
    <w:lvl w:ilvl="0">
      <w:start w:val="1"/>
      <w:numFmt w:val="decimal"/>
      <w:lvlText w:val="%1)"/>
      <w:lvlJc w:val="left"/>
      <w:pPr>
        <w:ind w:left="1800" w:hanging="360"/>
      </w:pPr>
    </w:lvl>
    <w:lvl w:ilvl="1">
      <w:start w:val="1"/>
      <w:numFmt w:val="lowerLetter"/>
      <w:lvlText w:val="%2)"/>
      <w:lvlJc w:val="left"/>
      <w:pPr>
        <w:ind w:left="2160" w:hanging="360"/>
      </w:pPr>
      <w:rPr>
        <w:sz w:val="32"/>
      </w:r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2">
    <w:nsid w:val="1A91614A"/>
    <w:multiLevelType w:val="hybridMultilevel"/>
    <w:tmpl w:val="2BBE83A4"/>
    <w:lvl w:ilvl="0" w:tplc="13145C5C">
      <w:start w:val="7"/>
      <w:numFmt w:val="decimal"/>
      <w:lvlText w:val="%1."/>
      <w:lvlJc w:val="left"/>
      <w:pPr>
        <w:ind w:left="4382" w:hanging="555"/>
      </w:pPr>
      <w:rPr>
        <w:rFonts w:asciiTheme="minorHAnsi" w:hAnsiTheme="minorHAnsi" w:cstheme="minorHAnsi" w:hint="default"/>
        <w:b w:val="0"/>
        <w:sz w:val="28"/>
        <w:szCs w:val="28"/>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B38702D"/>
    <w:multiLevelType w:val="multilevel"/>
    <w:tmpl w:val="4D308D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D7B392A"/>
    <w:multiLevelType w:val="hybridMultilevel"/>
    <w:tmpl w:val="F45E477A"/>
    <w:lvl w:ilvl="0" w:tplc="85B01B62">
      <w:start w:val="2010"/>
      <w:numFmt w:val="bullet"/>
      <w:lvlText w:val="-"/>
      <w:lvlJc w:val="left"/>
      <w:pPr>
        <w:ind w:left="1536" w:hanging="360"/>
      </w:pPr>
      <w:rPr>
        <w:rFonts w:ascii="Times New Roman" w:eastAsiaTheme="minorEastAsia" w:hAnsi="Times New Roman" w:hint="default"/>
      </w:rPr>
    </w:lvl>
    <w:lvl w:ilvl="1" w:tplc="04090003">
      <w:start w:val="1"/>
      <w:numFmt w:val="bullet"/>
      <w:lvlText w:val="o"/>
      <w:lvlJc w:val="left"/>
      <w:pPr>
        <w:ind w:left="2256" w:hanging="360"/>
      </w:pPr>
      <w:rPr>
        <w:rFonts w:ascii="Courier New" w:hAnsi="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15">
    <w:nsid w:val="1DA328F1"/>
    <w:multiLevelType w:val="hybridMultilevel"/>
    <w:tmpl w:val="18560F0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13A75C9"/>
    <w:multiLevelType w:val="multilevel"/>
    <w:tmpl w:val="DDC6A7C6"/>
    <w:lvl w:ilvl="0">
      <w:start w:val="1"/>
      <w:numFmt w:val="decimal"/>
      <w:lvlText w:val="%1."/>
      <w:lvlJc w:val="left"/>
      <w:pPr>
        <w:ind w:left="1800" w:hanging="360"/>
      </w:pPr>
    </w:lvl>
    <w:lvl w:ilvl="1">
      <w:start w:val="1"/>
      <w:numFmt w:val="lowerLetter"/>
      <w:lvlText w:val="%2)"/>
      <w:lvlJc w:val="left"/>
      <w:pPr>
        <w:ind w:left="2160" w:hanging="360"/>
      </w:pPr>
      <w:rPr>
        <w:sz w:val="32"/>
      </w:r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7">
    <w:nsid w:val="27231742"/>
    <w:multiLevelType w:val="hybridMultilevel"/>
    <w:tmpl w:val="EF02B98A"/>
    <w:lvl w:ilvl="0" w:tplc="0C090019">
      <w:start w:val="1"/>
      <w:numFmt w:val="lowerLetter"/>
      <w:lvlText w:val="%1."/>
      <w:lvlJc w:val="left"/>
      <w:pPr>
        <w:ind w:left="1684" w:hanging="360"/>
      </w:pPr>
    </w:lvl>
    <w:lvl w:ilvl="1" w:tplc="0C090019" w:tentative="1">
      <w:start w:val="1"/>
      <w:numFmt w:val="lowerLetter"/>
      <w:lvlText w:val="%2."/>
      <w:lvlJc w:val="left"/>
      <w:pPr>
        <w:ind w:left="2404" w:hanging="360"/>
      </w:pPr>
    </w:lvl>
    <w:lvl w:ilvl="2" w:tplc="0C09001B" w:tentative="1">
      <w:start w:val="1"/>
      <w:numFmt w:val="lowerRoman"/>
      <w:lvlText w:val="%3."/>
      <w:lvlJc w:val="right"/>
      <w:pPr>
        <w:ind w:left="3124" w:hanging="180"/>
      </w:pPr>
    </w:lvl>
    <w:lvl w:ilvl="3" w:tplc="0C09000F" w:tentative="1">
      <w:start w:val="1"/>
      <w:numFmt w:val="decimal"/>
      <w:lvlText w:val="%4."/>
      <w:lvlJc w:val="left"/>
      <w:pPr>
        <w:ind w:left="3844" w:hanging="360"/>
      </w:pPr>
    </w:lvl>
    <w:lvl w:ilvl="4" w:tplc="0C090019" w:tentative="1">
      <w:start w:val="1"/>
      <w:numFmt w:val="lowerLetter"/>
      <w:lvlText w:val="%5."/>
      <w:lvlJc w:val="left"/>
      <w:pPr>
        <w:ind w:left="4564" w:hanging="360"/>
      </w:pPr>
    </w:lvl>
    <w:lvl w:ilvl="5" w:tplc="0C09001B" w:tentative="1">
      <w:start w:val="1"/>
      <w:numFmt w:val="lowerRoman"/>
      <w:lvlText w:val="%6."/>
      <w:lvlJc w:val="right"/>
      <w:pPr>
        <w:ind w:left="5284" w:hanging="180"/>
      </w:pPr>
    </w:lvl>
    <w:lvl w:ilvl="6" w:tplc="0C09000F" w:tentative="1">
      <w:start w:val="1"/>
      <w:numFmt w:val="decimal"/>
      <w:lvlText w:val="%7."/>
      <w:lvlJc w:val="left"/>
      <w:pPr>
        <w:ind w:left="6004" w:hanging="360"/>
      </w:pPr>
    </w:lvl>
    <w:lvl w:ilvl="7" w:tplc="0C090019" w:tentative="1">
      <w:start w:val="1"/>
      <w:numFmt w:val="lowerLetter"/>
      <w:lvlText w:val="%8."/>
      <w:lvlJc w:val="left"/>
      <w:pPr>
        <w:ind w:left="6724" w:hanging="360"/>
      </w:pPr>
    </w:lvl>
    <w:lvl w:ilvl="8" w:tplc="0C09001B" w:tentative="1">
      <w:start w:val="1"/>
      <w:numFmt w:val="lowerRoman"/>
      <w:lvlText w:val="%9."/>
      <w:lvlJc w:val="right"/>
      <w:pPr>
        <w:ind w:left="7444" w:hanging="180"/>
      </w:pPr>
    </w:lvl>
  </w:abstractNum>
  <w:abstractNum w:abstractNumId="18">
    <w:nsid w:val="27FF12DE"/>
    <w:multiLevelType w:val="hybridMultilevel"/>
    <w:tmpl w:val="0B7E225A"/>
    <w:lvl w:ilvl="0" w:tplc="B470AD62">
      <w:numFmt w:val="bullet"/>
      <w:lvlText w:val="-"/>
      <w:lvlJc w:val="left"/>
      <w:pPr>
        <w:ind w:left="1854" w:hanging="360"/>
      </w:pPr>
      <w:rPr>
        <w:rFonts w:ascii="Arial" w:eastAsiaTheme="minorHAnsi" w:hAnsi="Arial" w:cs="Aria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9">
    <w:nsid w:val="283652B2"/>
    <w:multiLevelType w:val="hybridMultilevel"/>
    <w:tmpl w:val="85A69D50"/>
    <w:lvl w:ilvl="0" w:tplc="8EEA3DAA">
      <w:start w:val="1"/>
      <w:numFmt w:val="lowerLetter"/>
      <w:lvlText w:val="(%1)"/>
      <w:lvlJc w:val="left"/>
      <w:pPr>
        <w:ind w:left="1725" w:hanging="555"/>
      </w:pPr>
      <w:rPr>
        <w:rFonts w:cs="Times New Roman" w:hint="default"/>
        <w:b/>
        <w:color w:val="000000"/>
        <w:sz w:val="22"/>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0">
    <w:nsid w:val="2CDE0D36"/>
    <w:multiLevelType w:val="hybridMultilevel"/>
    <w:tmpl w:val="F5B4A4C4"/>
    <w:lvl w:ilvl="0" w:tplc="B470AD62">
      <w:numFmt w:val="bullet"/>
      <w:lvlText w:val="-"/>
      <w:lvlJc w:val="left"/>
      <w:pPr>
        <w:ind w:left="1854" w:hanging="360"/>
      </w:pPr>
      <w:rPr>
        <w:rFonts w:ascii="Arial" w:eastAsiaTheme="minorHAnsi" w:hAnsi="Arial" w:cs="Aria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1">
    <w:nsid w:val="30740FB2"/>
    <w:multiLevelType w:val="hybridMultilevel"/>
    <w:tmpl w:val="E8409520"/>
    <w:lvl w:ilvl="0" w:tplc="13145C5C">
      <w:start w:val="7"/>
      <w:numFmt w:val="decimal"/>
      <w:lvlText w:val="%1."/>
      <w:lvlJc w:val="left"/>
      <w:pPr>
        <w:ind w:left="4382" w:hanging="555"/>
      </w:pPr>
      <w:rPr>
        <w:rFonts w:asciiTheme="minorHAnsi" w:hAnsiTheme="minorHAnsi" w:cstheme="minorHAnsi" w:hint="default"/>
        <w:b w:val="0"/>
        <w:sz w:val="28"/>
        <w:szCs w:val="28"/>
      </w:rPr>
    </w:lvl>
    <w:lvl w:ilvl="1" w:tplc="13145C5C">
      <w:start w:val="7"/>
      <w:numFmt w:val="decimal"/>
      <w:lvlText w:val="%2."/>
      <w:lvlJc w:val="left"/>
      <w:pPr>
        <w:ind w:left="1440" w:hanging="360"/>
      </w:pPr>
      <w:rPr>
        <w:rFonts w:asciiTheme="minorHAnsi" w:hAnsiTheme="minorHAnsi" w:cstheme="minorHAnsi" w:hint="default"/>
        <w:b w:val="0"/>
        <w:sz w:val="28"/>
        <w:szCs w:val="28"/>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2D307EE"/>
    <w:multiLevelType w:val="multilevel"/>
    <w:tmpl w:val="0C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23">
    <w:nsid w:val="389F5E45"/>
    <w:multiLevelType w:val="hybridMultilevel"/>
    <w:tmpl w:val="39B892B6"/>
    <w:lvl w:ilvl="0" w:tplc="1E0AED32">
      <w:start w:val="1"/>
      <w:numFmt w:val="decimal"/>
      <w:lvlText w:val="%1."/>
      <w:lvlJc w:val="left"/>
      <w:pPr>
        <w:ind w:left="1725" w:hanging="555"/>
      </w:pPr>
      <w:rPr>
        <w:rFonts w:cs="Times New Roman" w:hint="default"/>
        <w:b w:val="0"/>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4">
    <w:nsid w:val="43E456DD"/>
    <w:multiLevelType w:val="hybridMultilevel"/>
    <w:tmpl w:val="01B61F86"/>
    <w:lvl w:ilvl="0" w:tplc="D62C1288">
      <w:start w:val="1"/>
      <w:numFmt w:val="decimal"/>
      <w:lvlText w:val="%1."/>
      <w:lvlJc w:val="left"/>
      <w:pPr>
        <w:ind w:left="1725" w:hanging="555"/>
      </w:pPr>
      <w:rPr>
        <w:rFonts w:asciiTheme="minorHAnsi" w:hAnsiTheme="minorHAnsi" w:cstheme="minorHAnsi" w:hint="default"/>
        <w:b w:val="0"/>
        <w:sz w:val="36"/>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5">
    <w:nsid w:val="44577CED"/>
    <w:multiLevelType w:val="hybridMultilevel"/>
    <w:tmpl w:val="DF76675E"/>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6">
    <w:nsid w:val="459D68AB"/>
    <w:multiLevelType w:val="hybridMultilevel"/>
    <w:tmpl w:val="6EEA6F90"/>
    <w:lvl w:ilvl="0" w:tplc="13145C5C">
      <w:start w:val="7"/>
      <w:numFmt w:val="decimal"/>
      <w:lvlText w:val="%1."/>
      <w:lvlJc w:val="left"/>
      <w:pPr>
        <w:ind w:left="4382" w:hanging="555"/>
      </w:pPr>
      <w:rPr>
        <w:rFonts w:asciiTheme="minorHAnsi" w:hAnsiTheme="minorHAnsi" w:cstheme="minorHAnsi" w:hint="default"/>
        <w:b w:val="0"/>
        <w:sz w:val="28"/>
        <w:szCs w:val="28"/>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ADA59A0"/>
    <w:multiLevelType w:val="hybridMultilevel"/>
    <w:tmpl w:val="236EB7D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E05623D"/>
    <w:multiLevelType w:val="hybridMultilevel"/>
    <w:tmpl w:val="3210D9FC"/>
    <w:lvl w:ilvl="0" w:tplc="D62C1288">
      <w:start w:val="1"/>
      <w:numFmt w:val="decimal"/>
      <w:lvlText w:val="%1."/>
      <w:lvlJc w:val="left"/>
      <w:pPr>
        <w:ind w:left="1725" w:hanging="555"/>
      </w:pPr>
      <w:rPr>
        <w:rFonts w:asciiTheme="minorHAnsi" w:hAnsiTheme="minorHAnsi" w:cstheme="minorHAnsi" w:hint="default"/>
        <w:b w:val="0"/>
        <w:sz w:val="3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EFE1DA6"/>
    <w:multiLevelType w:val="multilevel"/>
    <w:tmpl w:val="1CBA4B04"/>
    <w:lvl w:ilvl="0">
      <w:start w:val="1"/>
      <w:numFmt w:val="decimal"/>
      <w:lvlText w:val="%1)"/>
      <w:lvlJc w:val="left"/>
      <w:pPr>
        <w:ind w:left="1800" w:hanging="360"/>
      </w:pPr>
    </w:lvl>
    <w:lvl w:ilvl="1">
      <w:start w:val="1"/>
      <w:numFmt w:val="lowerLetter"/>
      <w:lvlText w:val="%2)"/>
      <w:lvlJc w:val="left"/>
      <w:pPr>
        <w:ind w:left="2160" w:hanging="360"/>
      </w:pPr>
      <w:rPr>
        <w:sz w:val="32"/>
      </w:r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30">
    <w:nsid w:val="59956BF3"/>
    <w:multiLevelType w:val="multilevel"/>
    <w:tmpl w:val="1CBA4B04"/>
    <w:lvl w:ilvl="0">
      <w:start w:val="1"/>
      <w:numFmt w:val="decimal"/>
      <w:lvlText w:val="%1)"/>
      <w:lvlJc w:val="left"/>
      <w:pPr>
        <w:ind w:left="1800" w:hanging="360"/>
      </w:pPr>
    </w:lvl>
    <w:lvl w:ilvl="1">
      <w:start w:val="1"/>
      <w:numFmt w:val="lowerLetter"/>
      <w:lvlText w:val="%2)"/>
      <w:lvlJc w:val="left"/>
      <w:pPr>
        <w:ind w:left="2160" w:hanging="360"/>
      </w:pPr>
      <w:rPr>
        <w:sz w:val="32"/>
      </w:r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31">
    <w:nsid w:val="5B1321F5"/>
    <w:multiLevelType w:val="hybridMultilevel"/>
    <w:tmpl w:val="E50EF67A"/>
    <w:lvl w:ilvl="0" w:tplc="0C09000F">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2">
    <w:nsid w:val="617D3708"/>
    <w:multiLevelType w:val="hybridMultilevel"/>
    <w:tmpl w:val="E5D260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B8E05E2"/>
    <w:multiLevelType w:val="hybridMultilevel"/>
    <w:tmpl w:val="BEE01D5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4">
    <w:nsid w:val="6C3C1647"/>
    <w:multiLevelType w:val="hybridMultilevel"/>
    <w:tmpl w:val="6406A060"/>
    <w:lvl w:ilvl="0" w:tplc="0C09000F">
      <w:start w:val="1"/>
      <w:numFmt w:val="decimal"/>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nsid w:val="6C6E108E"/>
    <w:multiLevelType w:val="multilevel"/>
    <w:tmpl w:val="1CBA4B04"/>
    <w:lvl w:ilvl="0">
      <w:start w:val="1"/>
      <w:numFmt w:val="decimal"/>
      <w:lvlText w:val="%1)"/>
      <w:lvlJc w:val="left"/>
      <w:pPr>
        <w:ind w:left="1800" w:hanging="360"/>
      </w:pPr>
    </w:lvl>
    <w:lvl w:ilvl="1">
      <w:start w:val="1"/>
      <w:numFmt w:val="lowerLetter"/>
      <w:lvlText w:val="%2)"/>
      <w:lvlJc w:val="left"/>
      <w:pPr>
        <w:ind w:left="2160" w:hanging="360"/>
      </w:pPr>
      <w:rPr>
        <w:sz w:val="32"/>
      </w:r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36">
    <w:nsid w:val="6D7E422D"/>
    <w:multiLevelType w:val="hybridMultilevel"/>
    <w:tmpl w:val="01B61F86"/>
    <w:lvl w:ilvl="0" w:tplc="D62C1288">
      <w:start w:val="1"/>
      <w:numFmt w:val="decimal"/>
      <w:lvlText w:val="%1."/>
      <w:lvlJc w:val="left"/>
      <w:pPr>
        <w:ind w:left="1725" w:hanging="555"/>
      </w:pPr>
      <w:rPr>
        <w:rFonts w:asciiTheme="minorHAnsi" w:hAnsiTheme="minorHAnsi" w:cstheme="minorHAnsi" w:hint="default"/>
        <w:b w:val="0"/>
        <w:sz w:val="36"/>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37">
    <w:nsid w:val="6FF438E2"/>
    <w:multiLevelType w:val="hybridMultilevel"/>
    <w:tmpl w:val="AF641B8C"/>
    <w:lvl w:ilvl="0" w:tplc="9E465448">
      <w:start w:val="1"/>
      <w:numFmt w:val="lowerRoman"/>
      <w:lvlText w:val="(%1)"/>
      <w:lvlJc w:val="left"/>
      <w:pPr>
        <w:ind w:left="1890" w:hanging="72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38">
    <w:nsid w:val="706A62B2"/>
    <w:multiLevelType w:val="hybridMultilevel"/>
    <w:tmpl w:val="0F569B0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nsid w:val="76F613B5"/>
    <w:multiLevelType w:val="hybridMultilevel"/>
    <w:tmpl w:val="6DAA8D4C"/>
    <w:lvl w:ilvl="0" w:tplc="812A96F4">
      <w:start w:val="1"/>
      <w:numFmt w:val="decimal"/>
      <w:lvlText w:val="%1."/>
      <w:lvlJc w:val="left"/>
      <w:pPr>
        <w:ind w:left="4382" w:hanging="555"/>
      </w:pPr>
      <w:rPr>
        <w:rFonts w:asciiTheme="minorHAnsi" w:hAnsiTheme="minorHAnsi" w:cstheme="minorHAnsi" w:hint="default"/>
        <w:b w:val="0"/>
        <w:sz w:val="28"/>
        <w:szCs w:val="28"/>
      </w:rPr>
    </w:lvl>
    <w:lvl w:ilvl="1" w:tplc="04090019">
      <w:start w:val="1"/>
      <w:numFmt w:val="lowerLetter"/>
      <w:lvlText w:val="%2."/>
      <w:lvlJc w:val="left"/>
      <w:pPr>
        <w:ind w:left="2250" w:hanging="360"/>
      </w:pPr>
      <w:rPr>
        <w:rFonts w:cs="Times New Roman"/>
      </w:rPr>
    </w:lvl>
    <w:lvl w:ilvl="2" w:tplc="0409001B">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40">
    <w:nsid w:val="7E3E7172"/>
    <w:multiLevelType w:val="hybridMultilevel"/>
    <w:tmpl w:val="EACAD004"/>
    <w:lvl w:ilvl="0" w:tplc="B8EA61E4">
      <w:start w:val="9"/>
      <w:numFmt w:val="lowerLetter"/>
      <w:lvlText w:val="(%1)"/>
      <w:lvlJc w:val="left"/>
      <w:pPr>
        <w:ind w:left="1890" w:hanging="360"/>
      </w:pPr>
      <w:rPr>
        <w:rFonts w:cs="Times New Roman" w:hint="default"/>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num w:numId="1">
    <w:abstractNumId w:val="19"/>
  </w:num>
  <w:num w:numId="2">
    <w:abstractNumId w:val="40"/>
  </w:num>
  <w:num w:numId="3">
    <w:abstractNumId w:val="14"/>
  </w:num>
  <w:num w:numId="4">
    <w:abstractNumId w:val="37"/>
  </w:num>
  <w:num w:numId="5">
    <w:abstractNumId w:val="1"/>
  </w:num>
  <w:num w:numId="6">
    <w:abstractNumId w:val="23"/>
  </w:num>
  <w:num w:numId="7">
    <w:abstractNumId w:val="17"/>
  </w:num>
  <w:num w:numId="8">
    <w:abstractNumId w:val="27"/>
  </w:num>
  <w:num w:numId="9">
    <w:abstractNumId w:val="34"/>
  </w:num>
  <w:num w:numId="10">
    <w:abstractNumId w:val="31"/>
  </w:num>
  <w:num w:numId="11">
    <w:abstractNumId w:val="38"/>
  </w:num>
  <w:num w:numId="12">
    <w:abstractNumId w:val="22"/>
  </w:num>
  <w:num w:numId="13">
    <w:abstractNumId w:val="0"/>
  </w:num>
  <w:num w:numId="14">
    <w:abstractNumId w:val="7"/>
  </w:num>
  <w:num w:numId="15">
    <w:abstractNumId w:val="33"/>
  </w:num>
  <w:num w:numId="16">
    <w:abstractNumId w:val="6"/>
  </w:num>
  <w:num w:numId="17">
    <w:abstractNumId w:val="3"/>
  </w:num>
  <w:num w:numId="18">
    <w:abstractNumId w:val="9"/>
  </w:num>
  <w:num w:numId="19">
    <w:abstractNumId w:val="24"/>
  </w:num>
  <w:num w:numId="20">
    <w:abstractNumId w:val="36"/>
  </w:num>
  <w:num w:numId="21">
    <w:abstractNumId w:val="39"/>
  </w:num>
  <w:num w:numId="22">
    <w:abstractNumId w:val="4"/>
  </w:num>
  <w:num w:numId="23">
    <w:abstractNumId w:val="28"/>
  </w:num>
  <w:num w:numId="24">
    <w:abstractNumId w:val="8"/>
  </w:num>
  <w:num w:numId="25">
    <w:abstractNumId w:val="5"/>
  </w:num>
  <w:num w:numId="26">
    <w:abstractNumId w:val="20"/>
  </w:num>
  <w:num w:numId="27">
    <w:abstractNumId w:val="15"/>
  </w:num>
  <w:num w:numId="28">
    <w:abstractNumId w:val="10"/>
  </w:num>
  <w:num w:numId="29">
    <w:abstractNumId w:val="18"/>
  </w:num>
  <w:num w:numId="30">
    <w:abstractNumId w:val="25"/>
  </w:num>
  <w:num w:numId="31">
    <w:abstractNumId w:val="29"/>
  </w:num>
  <w:num w:numId="32">
    <w:abstractNumId w:val="35"/>
  </w:num>
  <w:num w:numId="33">
    <w:abstractNumId w:val="16"/>
  </w:num>
  <w:num w:numId="34">
    <w:abstractNumId w:val="32"/>
  </w:num>
  <w:num w:numId="35">
    <w:abstractNumId w:val="2"/>
  </w:num>
  <w:num w:numId="36">
    <w:abstractNumId w:val="26"/>
  </w:num>
  <w:num w:numId="37">
    <w:abstractNumId w:val="12"/>
  </w:num>
  <w:num w:numId="38">
    <w:abstractNumId w:val="21"/>
  </w:num>
  <w:num w:numId="39">
    <w:abstractNumId w:val="13"/>
  </w:num>
  <w:num w:numId="40">
    <w:abstractNumId w:val="11"/>
  </w:num>
  <w:num w:numId="41">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o:colormru v:ext="edit" colors="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00B"/>
    <w:rsid w:val="00012921"/>
    <w:rsid w:val="000234B1"/>
    <w:rsid w:val="0002368B"/>
    <w:rsid w:val="000353EE"/>
    <w:rsid w:val="00075800"/>
    <w:rsid w:val="00075D3F"/>
    <w:rsid w:val="00077124"/>
    <w:rsid w:val="00082BF0"/>
    <w:rsid w:val="00085B2A"/>
    <w:rsid w:val="00086DF8"/>
    <w:rsid w:val="000B54A4"/>
    <w:rsid w:val="000C3602"/>
    <w:rsid w:val="000C5471"/>
    <w:rsid w:val="000C7DE9"/>
    <w:rsid w:val="000F252A"/>
    <w:rsid w:val="00105329"/>
    <w:rsid w:val="001132C8"/>
    <w:rsid w:val="00122C29"/>
    <w:rsid w:val="00130812"/>
    <w:rsid w:val="00134384"/>
    <w:rsid w:val="00153097"/>
    <w:rsid w:val="0015721B"/>
    <w:rsid w:val="00164128"/>
    <w:rsid w:val="00173238"/>
    <w:rsid w:val="00181B99"/>
    <w:rsid w:val="00182357"/>
    <w:rsid w:val="001A2FF7"/>
    <w:rsid w:val="001D0C47"/>
    <w:rsid w:val="001E314A"/>
    <w:rsid w:val="001E742A"/>
    <w:rsid w:val="001F30B3"/>
    <w:rsid w:val="001F3C58"/>
    <w:rsid w:val="0021068D"/>
    <w:rsid w:val="00215DAC"/>
    <w:rsid w:val="00216EB1"/>
    <w:rsid w:val="00230161"/>
    <w:rsid w:val="00237F47"/>
    <w:rsid w:val="002419C9"/>
    <w:rsid w:val="00244B70"/>
    <w:rsid w:val="00247FCA"/>
    <w:rsid w:val="00272A5D"/>
    <w:rsid w:val="002749D4"/>
    <w:rsid w:val="00287D76"/>
    <w:rsid w:val="002A1136"/>
    <w:rsid w:val="002A4B22"/>
    <w:rsid w:val="002B123A"/>
    <w:rsid w:val="002E40EE"/>
    <w:rsid w:val="00311D98"/>
    <w:rsid w:val="003206AB"/>
    <w:rsid w:val="00321AB1"/>
    <w:rsid w:val="003226E6"/>
    <w:rsid w:val="003414A4"/>
    <w:rsid w:val="00362112"/>
    <w:rsid w:val="00374873"/>
    <w:rsid w:val="00383BA9"/>
    <w:rsid w:val="003A7164"/>
    <w:rsid w:val="003B05CD"/>
    <w:rsid w:val="003B4A83"/>
    <w:rsid w:val="003C3F31"/>
    <w:rsid w:val="003C5612"/>
    <w:rsid w:val="003D78CD"/>
    <w:rsid w:val="003F7A90"/>
    <w:rsid w:val="004030E3"/>
    <w:rsid w:val="00431598"/>
    <w:rsid w:val="0044141E"/>
    <w:rsid w:val="00446881"/>
    <w:rsid w:val="00464410"/>
    <w:rsid w:val="00467752"/>
    <w:rsid w:val="00467844"/>
    <w:rsid w:val="00475D65"/>
    <w:rsid w:val="0049007C"/>
    <w:rsid w:val="004A0EB2"/>
    <w:rsid w:val="004A2A2E"/>
    <w:rsid w:val="004B6061"/>
    <w:rsid w:val="004B6628"/>
    <w:rsid w:val="004D299B"/>
    <w:rsid w:val="004D50E6"/>
    <w:rsid w:val="004E1FD6"/>
    <w:rsid w:val="004F350B"/>
    <w:rsid w:val="004F659A"/>
    <w:rsid w:val="00515B5E"/>
    <w:rsid w:val="00523CA1"/>
    <w:rsid w:val="005363EC"/>
    <w:rsid w:val="005423C5"/>
    <w:rsid w:val="00574AED"/>
    <w:rsid w:val="00583ACD"/>
    <w:rsid w:val="005940D9"/>
    <w:rsid w:val="005A5C48"/>
    <w:rsid w:val="005C6F31"/>
    <w:rsid w:val="005C7A6C"/>
    <w:rsid w:val="005D67C4"/>
    <w:rsid w:val="005F34CB"/>
    <w:rsid w:val="00603ED1"/>
    <w:rsid w:val="00607546"/>
    <w:rsid w:val="006355F7"/>
    <w:rsid w:val="00636E3A"/>
    <w:rsid w:val="00651610"/>
    <w:rsid w:val="00680566"/>
    <w:rsid w:val="00685106"/>
    <w:rsid w:val="00694D6B"/>
    <w:rsid w:val="006954CA"/>
    <w:rsid w:val="006C209E"/>
    <w:rsid w:val="006D2D33"/>
    <w:rsid w:val="006D472F"/>
    <w:rsid w:val="006E134B"/>
    <w:rsid w:val="006E29C5"/>
    <w:rsid w:val="00712378"/>
    <w:rsid w:val="00712543"/>
    <w:rsid w:val="00712D5D"/>
    <w:rsid w:val="007132CC"/>
    <w:rsid w:val="00720F3F"/>
    <w:rsid w:val="007309FE"/>
    <w:rsid w:val="00752FBD"/>
    <w:rsid w:val="00771824"/>
    <w:rsid w:val="007753F4"/>
    <w:rsid w:val="00781726"/>
    <w:rsid w:val="0078384F"/>
    <w:rsid w:val="00786E0F"/>
    <w:rsid w:val="0079623D"/>
    <w:rsid w:val="007A1B78"/>
    <w:rsid w:val="007A7882"/>
    <w:rsid w:val="007B57D8"/>
    <w:rsid w:val="007B72FE"/>
    <w:rsid w:val="007C6C0F"/>
    <w:rsid w:val="007E4389"/>
    <w:rsid w:val="007F67A5"/>
    <w:rsid w:val="00800602"/>
    <w:rsid w:val="00805CE4"/>
    <w:rsid w:val="008260A6"/>
    <w:rsid w:val="0083231D"/>
    <w:rsid w:val="00832B35"/>
    <w:rsid w:val="00846B28"/>
    <w:rsid w:val="0087126B"/>
    <w:rsid w:val="008841DC"/>
    <w:rsid w:val="008855E5"/>
    <w:rsid w:val="00891A46"/>
    <w:rsid w:val="00895057"/>
    <w:rsid w:val="008B17D1"/>
    <w:rsid w:val="008B5145"/>
    <w:rsid w:val="008F0C7A"/>
    <w:rsid w:val="008F4A4A"/>
    <w:rsid w:val="00901ED7"/>
    <w:rsid w:val="00910318"/>
    <w:rsid w:val="009221AF"/>
    <w:rsid w:val="009545DC"/>
    <w:rsid w:val="00984F88"/>
    <w:rsid w:val="009868C6"/>
    <w:rsid w:val="009A2800"/>
    <w:rsid w:val="009B6735"/>
    <w:rsid w:val="009E30DC"/>
    <w:rsid w:val="009E7D4C"/>
    <w:rsid w:val="00A20F2F"/>
    <w:rsid w:val="00A30A1F"/>
    <w:rsid w:val="00A318C9"/>
    <w:rsid w:val="00A32AC0"/>
    <w:rsid w:val="00A540D8"/>
    <w:rsid w:val="00A7286E"/>
    <w:rsid w:val="00AC2CB4"/>
    <w:rsid w:val="00AF5B9F"/>
    <w:rsid w:val="00B01AE5"/>
    <w:rsid w:val="00B24359"/>
    <w:rsid w:val="00B25341"/>
    <w:rsid w:val="00B26290"/>
    <w:rsid w:val="00B3186D"/>
    <w:rsid w:val="00B46B34"/>
    <w:rsid w:val="00B522EA"/>
    <w:rsid w:val="00B66B21"/>
    <w:rsid w:val="00B83D94"/>
    <w:rsid w:val="00B90CF7"/>
    <w:rsid w:val="00B91259"/>
    <w:rsid w:val="00B93F2B"/>
    <w:rsid w:val="00BA3896"/>
    <w:rsid w:val="00BA4E8F"/>
    <w:rsid w:val="00BD7031"/>
    <w:rsid w:val="00BE65D8"/>
    <w:rsid w:val="00BE679F"/>
    <w:rsid w:val="00BE7EB4"/>
    <w:rsid w:val="00C10C99"/>
    <w:rsid w:val="00C2688A"/>
    <w:rsid w:val="00C2734F"/>
    <w:rsid w:val="00C43F7D"/>
    <w:rsid w:val="00CB5652"/>
    <w:rsid w:val="00CB7FF4"/>
    <w:rsid w:val="00CC0E20"/>
    <w:rsid w:val="00CC794E"/>
    <w:rsid w:val="00CF248E"/>
    <w:rsid w:val="00CF3218"/>
    <w:rsid w:val="00CF48C6"/>
    <w:rsid w:val="00D02DD3"/>
    <w:rsid w:val="00D1145B"/>
    <w:rsid w:val="00D2400B"/>
    <w:rsid w:val="00D24DFC"/>
    <w:rsid w:val="00D32CC7"/>
    <w:rsid w:val="00D64643"/>
    <w:rsid w:val="00D668F9"/>
    <w:rsid w:val="00D72AF4"/>
    <w:rsid w:val="00D77C8F"/>
    <w:rsid w:val="00DB3A97"/>
    <w:rsid w:val="00DB3DFE"/>
    <w:rsid w:val="00DD21ED"/>
    <w:rsid w:val="00DD22FF"/>
    <w:rsid w:val="00DD5289"/>
    <w:rsid w:val="00DE3EE1"/>
    <w:rsid w:val="00E01B69"/>
    <w:rsid w:val="00E07C4E"/>
    <w:rsid w:val="00E171F7"/>
    <w:rsid w:val="00E200FA"/>
    <w:rsid w:val="00E3053E"/>
    <w:rsid w:val="00E408A8"/>
    <w:rsid w:val="00E4585C"/>
    <w:rsid w:val="00E53F2A"/>
    <w:rsid w:val="00E67D13"/>
    <w:rsid w:val="00E821E2"/>
    <w:rsid w:val="00EA1363"/>
    <w:rsid w:val="00EC6D27"/>
    <w:rsid w:val="00ED467E"/>
    <w:rsid w:val="00ED4ED0"/>
    <w:rsid w:val="00EE6DB0"/>
    <w:rsid w:val="00F07911"/>
    <w:rsid w:val="00F104FF"/>
    <w:rsid w:val="00F14E00"/>
    <w:rsid w:val="00F20E81"/>
    <w:rsid w:val="00F30B78"/>
    <w:rsid w:val="00F42C98"/>
    <w:rsid w:val="00F512EF"/>
    <w:rsid w:val="00F526BB"/>
    <w:rsid w:val="00F56420"/>
    <w:rsid w:val="00F5788A"/>
    <w:rsid w:val="00F671AA"/>
    <w:rsid w:val="00F67A25"/>
    <w:rsid w:val="00F717AB"/>
    <w:rsid w:val="00F71C02"/>
    <w:rsid w:val="00FC5AAD"/>
    <w:rsid w:val="00FD0325"/>
    <w:rsid w:val="00FE78F8"/>
    <w:rsid w:val="00FF62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2" w:qFormat="1"/>
    <w:lsdException w:name="heading 3" w:uiPriority="3"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E7EB4"/>
    <w:pPr>
      <w:spacing w:after="140"/>
    </w:pPr>
    <w:rPr>
      <w:szCs w:val="20"/>
    </w:rPr>
  </w:style>
  <w:style w:type="paragraph" w:styleId="Heading1">
    <w:name w:val="heading 1"/>
    <w:basedOn w:val="Normal"/>
    <w:next w:val="Normal"/>
    <w:link w:val="Heading1Char"/>
    <w:uiPriority w:val="9"/>
    <w:qFormat/>
    <w:rsid w:val="003226E6"/>
    <w:pPr>
      <w:spacing w:before="480" w:after="0"/>
      <w:contextualSpacing/>
      <w:outlineLvl w:val="0"/>
    </w:pPr>
    <w:rPr>
      <w:color w:val="000000" w:themeColor="text2"/>
      <w:sz w:val="48"/>
      <w:szCs w:val="40"/>
    </w:rPr>
  </w:style>
  <w:style w:type="paragraph" w:styleId="Heading2">
    <w:name w:val="heading 2"/>
    <w:basedOn w:val="Normal"/>
    <w:next w:val="Normal"/>
    <w:link w:val="Heading2Char"/>
    <w:uiPriority w:val="2"/>
    <w:qFormat/>
    <w:rsid w:val="00F104FF"/>
    <w:pPr>
      <w:spacing w:before="200" w:after="0"/>
      <w:outlineLvl w:val="1"/>
    </w:pPr>
    <w:rPr>
      <w:b/>
      <w:sz w:val="32"/>
      <w:szCs w:val="33"/>
    </w:rPr>
  </w:style>
  <w:style w:type="paragraph" w:styleId="Heading3">
    <w:name w:val="heading 3"/>
    <w:basedOn w:val="Normal"/>
    <w:next w:val="Normal"/>
    <w:link w:val="Heading3Char"/>
    <w:uiPriority w:val="3"/>
    <w:qFormat/>
    <w:rsid w:val="004D299B"/>
    <w:pPr>
      <w:spacing w:before="60" w:after="0"/>
      <w:outlineLvl w:val="2"/>
    </w:pPr>
    <w:rPr>
      <w:sz w:val="32"/>
      <w:szCs w:val="32"/>
    </w:rPr>
  </w:style>
  <w:style w:type="paragraph" w:styleId="Heading4">
    <w:name w:val="heading 4"/>
    <w:basedOn w:val="Normal"/>
    <w:next w:val="Normal"/>
    <w:link w:val="Heading4Char"/>
    <w:uiPriority w:val="4"/>
    <w:qFormat/>
    <w:rsid w:val="004D299B"/>
    <w:pPr>
      <w:keepNext/>
      <w:keepLines/>
      <w:spacing w:before="20" w:after="0"/>
      <w:outlineLvl w:val="3"/>
    </w:pPr>
    <w:rPr>
      <w:rFonts w:asciiTheme="majorHAnsi" w:eastAsiaTheme="majorEastAsia" w:hAnsiTheme="majorHAnsi" w:cstheme="majorBidi"/>
      <w:b/>
      <w:bCs/>
      <w:iCs/>
      <w:color w:val="000000" w:themeColor="accent1"/>
      <w:sz w:val="24"/>
      <w:szCs w:val="24"/>
    </w:rPr>
  </w:style>
  <w:style w:type="paragraph" w:styleId="Heading5">
    <w:name w:val="heading 5"/>
    <w:basedOn w:val="Normal"/>
    <w:next w:val="Normal"/>
    <w:link w:val="Heading5Char"/>
    <w:uiPriority w:val="5"/>
    <w:qFormat/>
    <w:rsid w:val="002E40EE"/>
    <w:pPr>
      <w:keepNext/>
      <w:keepLines/>
      <w:spacing w:before="40" w:after="0"/>
      <w:outlineLvl w:val="4"/>
    </w:pPr>
    <w:rPr>
      <w:rFonts w:asciiTheme="majorHAnsi" w:eastAsiaTheme="majorEastAsia" w:hAnsiTheme="majorHAnsi" w:cstheme="majorBidi"/>
      <w:b/>
      <w:i/>
      <w:color w:val="000000" w:themeColor="accent1" w:themeShade="7F"/>
    </w:rPr>
  </w:style>
  <w:style w:type="paragraph" w:styleId="Heading6">
    <w:name w:val="heading 6"/>
    <w:basedOn w:val="Normal"/>
    <w:next w:val="Normal"/>
    <w:link w:val="Heading6Char"/>
    <w:uiPriority w:val="6"/>
    <w:unhideWhenUsed/>
    <w:rsid w:val="00012921"/>
    <w:pPr>
      <w:keepNext/>
      <w:keepLines/>
      <w:spacing w:before="200" w:after="0"/>
      <w:outlineLvl w:val="5"/>
    </w:pPr>
    <w:rPr>
      <w:rFonts w:asciiTheme="majorHAnsi" w:eastAsiaTheme="majorEastAsia" w:hAnsiTheme="majorHAnsi" w:cstheme="majorBidi"/>
      <w:iCs/>
      <w:color w:val="00000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6E6"/>
    <w:rPr>
      <w:color w:val="000000" w:themeColor="text2"/>
      <w:sz w:val="48"/>
      <w:szCs w:val="40"/>
    </w:rPr>
  </w:style>
  <w:style w:type="character" w:customStyle="1" w:styleId="Heading2Char">
    <w:name w:val="Heading 2 Char"/>
    <w:basedOn w:val="DefaultParagraphFont"/>
    <w:link w:val="Heading2"/>
    <w:uiPriority w:val="2"/>
    <w:rsid w:val="00F104FF"/>
    <w:rPr>
      <w:b/>
      <w:sz w:val="32"/>
      <w:szCs w:val="33"/>
    </w:rPr>
  </w:style>
  <w:style w:type="character" w:customStyle="1" w:styleId="Heading3Char">
    <w:name w:val="Heading 3 Char"/>
    <w:basedOn w:val="DefaultParagraphFont"/>
    <w:link w:val="Heading3"/>
    <w:uiPriority w:val="3"/>
    <w:rsid w:val="004D299B"/>
    <w:rPr>
      <w:sz w:val="32"/>
      <w:szCs w:val="32"/>
    </w:rPr>
  </w:style>
  <w:style w:type="table" w:customStyle="1" w:styleId="EYStandardtable-grey">
    <w:name w:val="EY Standard table - grey"/>
    <w:basedOn w:val="TableNormal"/>
    <w:uiPriority w:val="99"/>
    <w:rsid w:val="00DD5289"/>
    <w:pPr>
      <w:spacing w:after="0" w:line="240" w:lineRule="auto"/>
    </w:pPr>
    <w:rPr>
      <w:rFonts w:ascii="Times New Roman" w:eastAsia="Times New Roman" w:hAnsi="Times New Roman" w:cs="Times New Roman"/>
      <w:sz w:val="20"/>
      <w:szCs w:val="20"/>
      <w:lang w:eastAsia="en-AU"/>
    </w:rPr>
    <w:tblPr>
      <w:tblInd w:w="0" w:type="dxa"/>
      <w:tblBorders>
        <w:insideH w:val="single" w:sz="4" w:space="0" w:color="999999" w:themeColor="accent2"/>
      </w:tblBorders>
      <w:tblCellMar>
        <w:top w:w="0" w:type="dxa"/>
        <w:left w:w="108" w:type="dxa"/>
        <w:bottom w:w="0" w:type="dxa"/>
        <w:right w:w="108" w:type="dxa"/>
      </w:tblCellMar>
    </w:tblPr>
    <w:tblStylePr w:type="firstRow">
      <w:tblPr/>
      <w:tcPr>
        <w:tcBorders>
          <w:top w:val="nil"/>
          <w:left w:val="nil"/>
          <w:bottom w:val="nil"/>
          <w:right w:val="nil"/>
          <w:insideH w:val="single" w:sz="18" w:space="0" w:color="FFFFFF" w:themeColor="background1"/>
          <w:insideV w:val="single" w:sz="18" w:space="0" w:color="FFFFFF" w:themeColor="background1"/>
          <w:tl2br w:val="nil"/>
          <w:tr2bl w:val="nil"/>
        </w:tcBorders>
        <w:shd w:val="clear" w:color="auto" w:fill="000000" w:themeFill="accent1"/>
      </w:tcPr>
    </w:tblStylePr>
  </w:style>
  <w:style w:type="table" w:customStyle="1" w:styleId="PHAROSShadedText">
    <w:name w:val="PHAROS Shaded Text"/>
    <w:basedOn w:val="TableNormal"/>
    <w:uiPriority w:val="99"/>
    <w:rsid w:val="00085B2A"/>
    <w:pPr>
      <w:spacing w:after="0" w:line="240" w:lineRule="auto"/>
    </w:pPr>
    <w:tblPr>
      <w:tblInd w:w="0" w:type="dxa"/>
      <w:tblCellMar>
        <w:top w:w="142" w:type="dxa"/>
        <w:left w:w="142" w:type="dxa"/>
        <w:bottom w:w="0" w:type="dxa"/>
        <w:right w:w="142" w:type="dxa"/>
      </w:tblCellMar>
    </w:tblPr>
    <w:tcPr>
      <w:shd w:val="clear" w:color="auto" w:fill="E6EAEE"/>
    </w:tcPr>
  </w:style>
  <w:style w:type="paragraph" w:styleId="BalloonText">
    <w:name w:val="Balloon Text"/>
    <w:basedOn w:val="Normal"/>
    <w:link w:val="BalloonTextChar"/>
    <w:uiPriority w:val="99"/>
    <w:semiHidden/>
    <w:unhideWhenUsed/>
    <w:rsid w:val="00A318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8C9"/>
    <w:rPr>
      <w:rFonts w:ascii="Tahoma" w:hAnsi="Tahoma" w:cs="Tahoma"/>
      <w:sz w:val="16"/>
      <w:szCs w:val="16"/>
    </w:rPr>
  </w:style>
  <w:style w:type="paragraph" w:styleId="Header">
    <w:name w:val="header"/>
    <w:basedOn w:val="Normal"/>
    <w:link w:val="HeaderChar"/>
    <w:uiPriority w:val="99"/>
    <w:unhideWhenUsed/>
    <w:rsid w:val="00A7286E"/>
    <w:pPr>
      <w:spacing w:after="1680" w:line="840" w:lineRule="exact"/>
    </w:pPr>
    <w:rPr>
      <w:caps/>
      <w:color w:val="000000" w:themeColor="text2"/>
      <w:sz w:val="84"/>
      <w:szCs w:val="84"/>
    </w:rPr>
  </w:style>
  <w:style w:type="character" w:customStyle="1" w:styleId="HeaderChar">
    <w:name w:val="Header Char"/>
    <w:basedOn w:val="DefaultParagraphFont"/>
    <w:link w:val="Header"/>
    <w:uiPriority w:val="99"/>
    <w:rsid w:val="00A7286E"/>
    <w:rPr>
      <w:caps/>
      <w:color w:val="000000" w:themeColor="text2"/>
      <w:sz w:val="84"/>
      <w:szCs w:val="84"/>
    </w:rPr>
  </w:style>
  <w:style w:type="paragraph" w:styleId="Footer">
    <w:name w:val="footer"/>
    <w:basedOn w:val="Normal"/>
    <w:link w:val="FooterChar"/>
    <w:uiPriority w:val="99"/>
    <w:unhideWhenUsed/>
    <w:rsid w:val="00B93F2B"/>
    <w:pPr>
      <w:tabs>
        <w:tab w:val="left" w:pos="255"/>
      </w:tabs>
      <w:autoSpaceDE w:val="0"/>
      <w:autoSpaceDN w:val="0"/>
      <w:adjustRightInd w:val="0"/>
      <w:spacing w:after="113" w:line="200" w:lineRule="atLeast"/>
      <w:textAlignment w:val="center"/>
    </w:pPr>
    <w:rPr>
      <w:rFonts w:asciiTheme="majorHAnsi" w:hAnsiTheme="majorHAnsi" w:cstheme="majorHAnsi"/>
      <w:color w:val="595959" w:themeColor="text1" w:themeTint="A6"/>
      <w:sz w:val="14"/>
      <w:szCs w:val="14"/>
      <w:lang w:val="en-US"/>
    </w:rPr>
  </w:style>
  <w:style w:type="character" w:customStyle="1" w:styleId="FooterChar">
    <w:name w:val="Footer Char"/>
    <w:basedOn w:val="DefaultParagraphFont"/>
    <w:link w:val="Footer"/>
    <w:uiPriority w:val="99"/>
    <w:rsid w:val="00B93F2B"/>
    <w:rPr>
      <w:rFonts w:asciiTheme="majorHAnsi" w:hAnsiTheme="majorHAnsi" w:cstheme="majorHAnsi"/>
      <w:color w:val="595959" w:themeColor="text1" w:themeTint="A6"/>
      <w:sz w:val="14"/>
      <w:szCs w:val="14"/>
      <w:lang w:val="en-US"/>
    </w:rPr>
  </w:style>
  <w:style w:type="paragraph" w:customStyle="1" w:styleId="1pixel">
    <w:name w:val="1 pixel"/>
    <w:basedOn w:val="Footer"/>
    <w:uiPriority w:val="29"/>
    <w:rsid w:val="00164128"/>
    <w:pPr>
      <w:spacing w:after="0" w:line="240" w:lineRule="auto"/>
    </w:pPr>
    <w:rPr>
      <w:sz w:val="2"/>
      <w:szCs w:val="2"/>
    </w:rPr>
  </w:style>
  <w:style w:type="character" w:styleId="Hyperlink">
    <w:name w:val="Hyperlink"/>
    <w:basedOn w:val="DefaultParagraphFont"/>
    <w:uiPriority w:val="99"/>
    <w:rsid w:val="00E07C4E"/>
    <w:rPr>
      <w:color w:val="0000FF"/>
      <w:u w:val="single" w:color="000000" w:themeColor="text2"/>
    </w:rPr>
  </w:style>
  <w:style w:type="table" w:styleId="TableGrid">
    <w:name w:val="Table Grid"/>
    <w:basedOn w:val="TableNormal"/>
    <w:uiPriority w:val="59"/>
    <w:rsid w:val="008B17D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paragraph" w:customStyle="1" w:styleId="ReportTitle">
    <w:name w:val="Report Title"/>
    <w:basedOn w:val="Normal"/>
    <w:uiPriority w:val="7"/>
    <w:qFormat/>
    <w:rsid w:val="000353EE"/>
    <w:pPr>
      <w:spacing w:after="0" w:line="920" w:lineRule="exact"/>
      <w:ind w:right="51"/>
    </w:pPr>
    <w:rPr>
      <w:noProof/>
      <w:color w:val="FFFFFF" w:themeColor="background1"/>
      <w:sz w:val="76"/>
      <w:szCs w:val="96"/>
      <w:lang w:eastAsia="en-AU"/>
    </w:rPr>
  </w:style>
  <w:style w:type="paragraph" w:customStyle="1" w:styleId="ReportSubtitle">
    <w:name w:val="Report Subtitle"/>
    <w:basedOn w:val="ReportTitle"/>
    <w:uiPriority w:val="8"/>
    <w:qFormat/>
    <w:rsid w:val="000353EE"/>
    <w:pPr>
      <w:spacing w:before="280" w:line="240" w:lineRule="auto"/>
    </w:pPr>
    <w:rPr>
      <w:sz w:val="48"/>
      <w:szCs w:val="48"/>
    </w:rPr>
  </w:style>
  <w:style w:type="paragraph" w:customStyle="1" w:styleId="Pull-outHeading">
    <w:name w:val="Pull-out Heading"/>
    <w:basedOn w:val="Normal"/>
    <w:uiPriority w:val="13"/>
    <w:qFormat/>
    <w:rsid w:val="00CC794E"/>
    <w:pPr>
      <w:pBdr>
        <w:top w:val="single" w:sz="12" w:space="10" w:color="313133"/>
        <w:left w:val="single" w:sz="12" w:space="10" w:color="313133"/>
        <w:bottom w:val="single" w:sz="12" w:space="10" w:color="313133"/>
        <w:right w:val="single" w:sz="12" w:space="10" w:color="313133"/>
      </w:pBdr>
      <w:spacing w:after="60"/>
      <w:ind w:left="227" w:right="227"/>
    </w:pPr>
    <w:rPr>
      <w:b/>
      <w:color w:val="000000" w:themeColor="text2"/>
      <w:sz w:val="28"/>
    </w:rPr>
  </w:style>
  <w:style w:type="paragraph" w:customStyle="1" w:styleId="Pull-outSubheading">
    <w:name w:val="Pull-out Subheading"/>
    <w:basedOn w:val="Pull-outHeading"/>
    <w:uiPriority w:val="14"/>
    <w:qFormat/>
    <w:rsid w:val="00CC794E"/>
    <w:pPr>
      <w:spacing w:after="120"/>
    </w:pPr>
    <w:rPr>
      <w:i/>
      <w:color w:val="auto"/>
      <w:sz w:val="24"/>
    </w:rPr>
  </w:style>
  <w:style w:type="paragraph" w:customStyle="1" w:styleId="Pull-outText">
    <w:name w:val="Pull-out Text"/>
    <w:basedOn w:val="Pull-outSubheading"/>
    <w:uiPriority w:val="16"/>
    <w:qFormat/>
    <w:rsid w:val="00E3053E"/>
    <w:rPr>
      <w:b w:val="0"/>
      <w:i w:val="0"/>
      <w:sz w:val="22"/>
    </w:rPr>
  </w:style>
  <w:style w:type="paragraph" w:customStyle="1" w:styleId="PageNumber1">
    <w:name w:val="Page Number1"/>
    <w:basedOn w:val="Footer"/>
    <w:uiPriority w:val="17"/>
    <w:qFormat/>
    <w:rsid w:val="008F0C7A"/>
    <w:pPr>
      <w:jc w:val="right"/>
    </w:pPr>
    <w:rPr>
      <w:noProof/>
      <w:color w:val="000000" w:themeColor="text2"/>
      <w:sz w:val="18"/>
      <w:szCs w:val="18"/>
      <w:lang w:val="en-AU" w:eastAsia="en-AU"/>
    </w:rPr>
  </w:style>
  <w:style w:type="paragraph" w:styleId="TOCHeading">
    <w:name w:val="TOC Heading"/>
    <w:basedOn w:val="Heading1"/>
    <w:next w:val="Normal"/>
    <w:uiPriority w:val="39"/>
    <w:unhideWhenUsed/>
    <w:qFormat/>
    <w:rsid w:val="008F0C7A"/>
    <w:pPr>
      <w:keepNext/>
      <w:keepLines/>
      <w:outlineLvl w:val="9"/>
    </w:pPr>
    <w:rPr>
      <w:rFonts w:eastAsiaTheme="majorEastAsia" w:cstheme="majorBidi"/>
      <w:bCs/>
      <w:szCs w:val="28"/>
      <w:lang w:val="en-US" w:eastAsia="ja-JP"/>
    </w:rPr>
  </w:style>
  <w:style w:type="paragraph" w:styleId="TOC1">
    <w:name w:val="toc 1"/>
    <w:basedOn w:val="Normal"/>
    <w:next w:val="Normal"/>
    <w:autoRedefine/>
    <w:uiPriority w:val="39"/>
    <w:unhideWhenUsed/>
    <w:qFormat/>
    <w:rsid w:val="001D0C47"/>
    <w:pPr>
      <w:tabs>
        <w:tab w:val="right" w:leader="dot" w:pos="9639"/>
      </w:tabs>
      <w:spacing w:before="120" w:after="120" w:line="480" w:lineRule="auto"/>
    </w:pPr>
  </w:style>
  <w:style w:type="paragraph" w:styleId="TOC2">
    <w:name w:val="toc 2"/>
    <w:basedOn w:val="Normal"/>
    <w:next w:val="Normal"/>
    <w:autoRedefine/>
    <w:uiPriority w:val="39"/>
    <w:unhideWhenUsed/>
    <w:qFormat/>
    <w:rsid w:val="00F67A25"/>
    <w:pPr>
      <w:spacing w:after="100"/>
      <w:ind w:left="200"/>
    </w:pPr>
  </w:style>
  <w:style w:type="paragraph" w:styleId="TOC3">
    <w:name w:val="toc 3"/>
    <w:basedOn w:val="Normal"/>
    <w:next w:val="Normal"/>
    <w:autoRedefine/>
    <w:uiPriority w:val="39"/>
    <w:unhideWhenUsed/>
    <w:qFormat/>
    <w:rsid w:val="00F67A25"/>
    <w:pPr>
      <w:spacing w:after="100"/>
      <w:ind w:left="400"/>
    </w:pPr>
  </w:style>
  <w:style w:type="character" w:customStyle="1" w:styleId="Heading4Char">
    <w:name w:val="Heading 4 Char"/>
    <w:basedOn w:val="DefaultParagraphFont"/>
    <w:link w:val="Heading4"/>
    <w:uiPriority w:val="4"/>
    <w:rsid w:val="004D299B"/>
    <w:rPr>
      <w:rFonts w:asciiTheme="majorHAnsi" w:eastAsiaTheme="majorEastAsia" w:hAnsiTheme="majorHAnsi" w:cstheme="majorBidi"/>
      <w:b/>
      <w:bCs/>
      <w:iCs/>
      <w:color w:val="000000" w:themeColor="accent1"/>
      <w:sz w:val="24"/>
      <w:szCs w:val="24"/>
    </w:rPr>
  </w:style>
  <w:style w:type="character" w:styleId="SubtleEmphasis">
    <w:name w:val="Subtle Emphasis"/>
    <w:basedOn w:val="DefaultParagraphFont"/>
    <w:uiPriority w:val="19"/>
    <w:rsid w:val="008F0C7A"/>
    <w:rPr>
      <w:i/>
      <w:iCs/>
      <w:color w:val="808080" w:themeColor="text1" w:themeTint="7F"/>
    </w:rPr>
  </w:style>
  <w:style w:type="character" w:customStyle="1" w:styleId="Heading5Char">
    <w:name w:val="Heading 5 Char"/>
    <w:basedOn w:val="DefaultParagraphFont"/>
    <w:link w:val="Heading5"/>
    <w:uiPriority w:val="5"/>
    <w:rsid w:val="002E40EE"/>
    <w:rPr>
      <w:rFonts w:asciiTheme="majorHAnsi" w:eastAsiaTheme="majorEastAsia" w:hAnsiTheme="majorHAnsi" w:cstheme="majorBidi"/>
      <w:b/>
      <w:i/>
      <w:color w:val="000000" w:themeColor="accent1" w:themeShade="7F"/>
      <w:szCs w:val="20"/>
    </w:rPr>
  </w:style>
  <w:style w:type="paragraph" w:styleId="ListParagraph">
    <w:name w:val="List Paragraph"/>
    <w:basedOn w:val="Normal"/>
    <w:uiPriority w:val="34"/>
    <w:qFormat/>
    <w:rsid w:val="00846B28"/>
    <w:pPr>
      <w:spacing w:after="120" w:line="240" w:lineRule="auto"/>
      <w:ind w:left="720"/>
      <w:contextualSpacing/>
    </w:pPr>
  </w:style>
  <w:style w:type="paragraph" w:styleId="FootnoteText">
    <w:name w:val="footnote text"/>
    <w:basedOn w:val="Normal"/>
    <w:link w:val="FootnoteTextChar"/>
    <w:uiPriority w:val="99"/>
    <w:semiHidden/>
    <w:unhideWhenUsed/>
    <w:rsid w:val="00846B28"/>
    <w:pPr>
      <w:spacing w:after="0" w:line="240" w:lineRule="auto"/>
    </w:pPr>
    <w:rPr>
      <w:sz w:val="20"/>
    </w:rPr>
  </w:style>
  <w:style w:type="character" w:customStyle="1" w:styleId="FootnoteTextChar">
    <w:name w:val="Footnote Text Char"/>
    <w:basedOn w:val="DefaultParagraphFont"/>
    <w:link w:val="FootnoteText"/>
    <w:uiPriority w:val="99"/>
    <w:semiHidden/>
    <w:rsid w:val="00846B28"/>
    <w:rPr>
      <w:sz w:val="20"/>
      <w:szCs w:val="20"/>
    </w:rPr>
  </w:style>
  <w:style w:type="character" w:styleId="FootnoteReference">
    <w:name w:val="footnote reference"/>
    <w:basedOn w:val="DefaultParagraphFont"/>
    <w:uiPriority w:val="99"/>
    <w:semiHidden/>
    <w:unhideWhenUsed/>
    <w:rsid w:val="00846B28"/>
    <w:rPr>
      <w:vertAlign w:val="superscript"/>
    </w:rPr>
  </w:style>
  <w:style w:type="paragraph" w:styleId="Caption">
    <w:name w:val="caption"/>
    <w:basedOn w:val="Normal"/>
    <w:next w:val="Normal"/>
    <w:uiPriority w:val="35"/>
    <w:unhideWhenUsed/>
    <w:qFormat/>
    <w:rsid w:val="00012921"/>
    <w:pPr>
      <w:spacing w:line="240" w:lineRule="auto"/>
    </w:pPr>
    <w:rPr>
      <w:b/>
      <w:bCs/>
      <w:color w:val="000000" w:themeColor="accent1"/>
      <w:sz w:val="18"/>
      <w:szCs w:val="18"/>
    </w:rPr>
  </w:style>
  <w:style w:type="character" w:customStyle="1" w:styleId="Heading6Char">
    <w:name w:val="Heading 6 Char"/>
    <w:basedOn w:val="DefaultParagraphFont"/>
    <w:link w:val="Heading6"/>
    <w:uiPriority w:val="6"/>
    <w:rsid w:val="00CC794E"/>
    <w:rPr>
      <w:rFonts w:asciiTheme="majorHAnsi" w:eastAsiaTheme="majorEastAsia" w:hAnsiTheme="majorHAnsi" w:cstheme="majorBidi"/>
      <w:iCs/>
      <w:color w:val="000000" w:themeColor="accent1" w:themeShade="7F"/>
      <w:sz w:val="24"/>
      <w:szCs w:val="20"/>
    </w:rPr>
  </w:style>
  <w:style w:type="character" w:styleId="BookTitle">
    <w:name w:val="Book Title"/>
    <w:basedOn w:val="DefaultParagraphFont"/>
    <w:uiPriority w:val="33"/>
    <w:rsid w:val="00E67D13"/>
    <w:rPr>
      <w:b/>
      <w:bCs/>
      <w:smallCaps/>
      <w:spacing w:val="5"/>
    </w:rPr>
  </w:style>
  <w:style w:type="paragraph" w:customStyle="1" w:styleId="paragraph">
    <w:name w:val="paragraph"/>
    <w:basedOn w:val="Normal"/>
    <w:uiPriority w:val="39"/>
    <w:rsid w:val="006E29C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g-directive">
    <w:name w:val="ng-directive"/>
    <w:basedOn w:val="DefaultParagraphFont"/>
    <w:uiPriority w:val="39"/>
    <w:rsid w:val="006E29C5"/>
  </w:style>
  <w:style w:type="character" w:styleId="FollowedHyperlink">
    <w:name w:val="FollowedHyperlink"/>
    <w:basedOn w:val="DefaultParagraphFont"/>
    <w:uiPriority w:val="99"/>
    <w:semiHidden/>
    <w:unhideWhenUsed/>
    <w:rsid w:val="00E07C4E"/>
    <w:rPr>
      <w:color w:val="800080" w:themeColor="followedHyperlink"/>
      <w:u w:val="single"/>
    </w:rPr>
  </w:style>
  <w:style w:type="paragraph" w:customStyle="1" w:styleId="para">
    <w:name w:val="para"/>
    <w:uiPriority w:val="99"/>
    <w:rsid w:val="00D2400B"/>
    <w:pPr>
      <w:keepLines/>
      <w:tabs>
        <w:tab w:val="left" w:pos="0"/>
      </w:tabs>
      <w:autoSpaceDE w:val="0"/>
      <w:autoSpaceDN w:val="0"/>
      <w:spacing w:before="80" w:after="60" w:line="240" w:lineRule="exact"/>
      <w:jc w:val="both"/>
    </w:pPr>
    <w:rPr>
      <w:rFonts w:ascii="Arial" w:eastAsiaTheme="minorEastAsia" w:hAnsi="Arial" w:cs="Arial"/>
    </w:rPr>
  </w:style>
  <w:style w:type="paragraph" w:customStyle="1" w:styleId="headL5">
    <w:name w:val="head:L5"/>
    <w:uiPriority w:val="99"/>
    <w:rsid w:val="00D2400B"/>
    <w:pPr>
      <w:keepNext/>
      <w:keepLines/>
      <w:widowControl w:val="0"/>
      <w:autoSpaceDE w:val="0"/>
      <w:autoSpaceDN w:val="0"/>
      <w:spacing w:before="120" w:after="60" w:line="240" w:lineRule="auto"/>
      <w:outlineLvl w:val="6"/>
    </w:pPr>
    <w:rPr>
      <w:rFonts w:ascii="Arial" w:eastAsiaTheme="minorEastAsia" w:hAnsi="Arial" w:cs="Arial"/>
      <w:b/>
      <w:bCs/>
    </w:rPr>
  </w:style>
  <w:style w:type="character" w:customStyle="1" w:styleId="Chartextitalics11pt">
    <w:name w:val="Char:text italics 11 pt"/>
    <w:basedOn w:val="DefaultParagraphFont"/>
    <w:uiPriority w:val="99"/>
    <w:rsid w:val="00D2400B"/>
    <w:rPr>
      <w:rFonts w:ascii="Arial" w:hAnsi="Arial" w:cs="Arial"/>
      <w:i/>
      <w:iCs/>
      <w:sz w:val="22"/>
      <w:szCs w:val="22"/>
      <w:lang w:val="en-US"/>
    </w:rPr>
  </w:style>
  <w:style w:type="paragraph" w:customStyle="1" w:styleId="acctsacctname">
    <w:name w:val="accts:acctname"/>
    <w:uiPriority w:val="99"/>
    <w:rsid w:val="00D2400B"/>
    <w:pPr>
      <w:autoSpaceDE w:val="0"/>
      <w:autoSpaceDN w:val="0"/>
      <w:spacing w:after="0" w:line="240" w:lineRule="auto"/>
      <w:jc w:val="center"/>
    </w:pPr>
    <w:rPr>
      <w:rFonts w:ascii="Arial" w:eastAsiaTheme="minorEastAsia" w:hAnsi="Arial" w:cs="Arial"/>
      <w:b/>
      <w:bCs/>
      <w:caps/>
      <w:color w:val="808080"/>
      <w:sz w:val="20"/>
      <w:szCs w:val="20"/>
      <w:lang w:val="en-US"/>
    </w:rPr>
  </w:style>
  <w:style w:type="paragraph" w:customStyle="1" w:styleId="Tabletext11pt">
    <w:name w:val="Table:text 11 pt"/>
    <w:uiPriority w:val="99"/>
    <w:rsid w:val="00D2400B"/>
    <w:pPr>
      <w:keepLines/>
      <w:autoSpaceDE w:val="0"/>
      <w:autoSpaceDN w:val="0"/>
      <w:spacing w:before="40" w:after="40" w:line="240" w:lineRule="auto"/>
      <w:jc w:val="both"/>
    </w:pPr>
    <w:rPr>
      <w:rFonts w:ascii="Arial" w:eastAsiaTheme="minorEastAsia" w:hAnsi="Arial" w:cs="Arial"/>
      <w:lang w:val="en-US"/>
    </w:rPr>
  </w:style>
  <w:style w:type="paragraph" w:styleId="Title">
    <w:name w:val="Title"/>
    <w:basedOn w:val="Normal"/>
    <w:next w:val="Normal"/>
    <w:link w:val="TitleChar"/>
    <w:uiPriority w:val="10"/>
    <w:qFormat/>
    <w:rsid w:val="00D2400B"/>
    <w:pPr>
      <w:pBdr>
        <w:bottom w:val="single" w:sz="8" w:space="4" w:color="000000" w:themeColor="accent1"/>
      </w:pBdr>
      <w:spacing w:after="300" w:line="240" w:lineRule="auto"/>
      <w:contextualSpacing/>
    </w:pPr>
    <w:rPr>
      <w:rFonts w:asciiTheme="majorHAnsi" w:eastAsiaTheme="majorEastAsia" w:hAnsiTheme="majorHAnsi" w:cstheme="majorBidi"/>
      <w:spacing w:val="5"/>
      <w:kern w:val="28"/>
      <w:sz w:val="52"/>
      <w:szCs w:val="52"/>
      <w:lang w:val="en-US"/>
    </w:rPr>
  </w:style>
  <w:style w:type="character" w:customStyle="1" w:styleId="TitleChar">
    <w:name w:val="Title Char"/>
    <w:basedOn w:val="DefaultParagraphFont"/>
    <w:link w:val="Title"/>
    <w:uiPriority w:val="10"/>
    <w:rsid w:val="00D2400B"/>
    <w:rPr>
      <w:rFonts w:asciiTheme="majorHAnsi" w:eastAsiaTheme="majorEastAsia" w:hAnsiTheme="majorHAnsi" w:cstheme="majorBidi"/>
      <w:spacing w:val="5"/>
      <w:kern w:val="28"/>
      <w:sz w:val="52"/>
      <w:szCs w:val="52"/>
      <w:lang w:val="en-US"/>
    </w:rPr>
  </w:style>
  <w:style w:type="table" w:customStyle="1" w:styleId="TableGrid1">
    <w:name w:val="Table Grid1"/>
    <w:basedOn w:val="TableNormal"/>
    <w:next w:val="TableGrid"/>
    <w:uiPriority w:val="59"/>
    <w:rsid w:val="00D2400B"/>
    <w:pPr>
      <w:spacing w:after="0" w:line="240" w:lineRule="auto"/>
    </w:pPr>
    <w:rPr>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24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2400B"/>
    <w:rPr>
      <w:b/>
      <w:bCs/>
    </w:rPr>
  </w:style>
  <w:style w:type="character" w:styleId="Emphasis">
    <w:name w:val="Emphasis"/>
    <w:basedOn w:val="DefaultParagraphFont"/>
    <w:uiPriority w:val="20"/>
    <w:qFormat/>
    <w:rsid w:val="00BE7EB4"/>
    <w:rPr>
      <w:i/>
      <w:iCs/>
    </w:rPr>
  </w:style>
  <w:style w:type="paragraph" w:styleId="Quote">
    <w:name w:val="Quote"/>
    <w:basedOn w:val="Normal"/>
    <w:next w:val="Normal"/>
    <w:link w:val="QuoteChar"/>
    <w:uiPriority w:val="29"/>
    <w:qFormat/>
    <w:rsid w:val="00ED4ED0"/>
    <w:rPr>
      <w:i/>
      <w:iCs/>
      <w:color w:val="000000" w:themeColor="text1"/>
    </w:rPr>
  </w:style>
  <w:style w:type="character" w:customStyle="1" w:styleId="QuoteChar">
    <w:name w:val="Quote Char"/>
    <w:basedOn w:val="DefaultParagraphFont"/>
    <w:link w:val="Quote"/>
    <w:uiPriority w:val="29"/>
    <w:rsid w:val="00ED4ED0"/>
    <w:rPr>
      <w:i/>
      <w:iCs/>
      <w:color w:val="000000" w:themeColor="text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2" w:qFormat="1"/>
    <w:lsdException w:name="heading 3" w:uiPriority="3"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E7EB4"/>
    <w:pPr>
      <w:spacing w:after="140"/>
    </w:pPr>
    <w:rPr>
      <w:szCs w:val="20"/>
    </w:rPr>
  </w:style>
  <w:style w:type="paragraph" w:styleId="Heading1">
    <w:name w:val="heading 1"/>
    <w:basedOn w:val="Normal"/>
    <w:next w:val="Normal"/>
    <w:link w:val="Heading1Char"/>
    <w:uiPriority w:val="9"/>
    <w:qFormat/>
    <w:rsid w:val="003226E6"/>
    <w:pPr>
      <w:spacing w:before="480" w:after="0"/>
      <w:contextualSpacing/>
      <w:outlineLvl w:val="0"/>
    </w:pPr>
    <w:rPr>
      <w:color w:val="000000" w:themeColor="text2"/>
      <w:sz w:val="48"/>
      <w:szCs w:val="40"/>
    </w:rPr>
  </w:style>
  <w:style w:type="paragraph" w:styleId="Heading2">
    <w:name w:val="heading 2"/>
    <w:basedOn w:val="Normal"/>
    <w:next w:val="Normal"/>
    <w:link w:val="Heading2Char"/>
    <w:uiPriority w:val="2"/>
    <w:qFormat/>
    <w:rsid w:val="00F104FF"/>
    <w:pPr>
      <w:spacing w:before="200" w:after="0"/>
      <w:outlineLvl w:val="1"/>
    </w:pPr>
    <w:rPr>
      <w:b/>
      <w:sz w:val="32"/>
      <w:szCs w:val="33"/>
    </w:rPr>
  </w:style>
  <w:style w:type="paragraph" w:styleId="Heading3">
    <w:name w:val="heading 3"/>
    <w:basedOn w:val="Normal"/>
    <w:next w:val="Normal"/>
    <w:link w:val="Heading3Char"/>
    <w:uiPriority w:val="3"/>
    <w:qFormat/>
    <w:rsid w:val="004D299B"/>
    <w:pPr>
      <w:spacing w:before="60" w:after="0"/>
      <w:outlineLvl w:val="2"/>
    </w:pPr>
    <w:rPr>
      <w:sz w:val="32"/>
      <w:szCs w:val="32"/>
    </w:rPr>
  </w:style>
  <w:style w:type="paragraph" w:styleId="Heading4">
    <w:name w:val="heading 4"/>
    <w:basedOn w:val="Normal"/>
    <w:next w:val="Normal"/>
    <w:link w:val="Heading4Char"/>
    <w:uiPriority w:val="4"/>
    <w:qFormat/>
    <w:rsid w:val="004D299B"/>
    <w:pPr>
      <w:keepNext/>
      <w:keepLines/>
      <w:spacing w:before="20" w:after="0"/>
      <w:outlineLvl w:val="3"/>
    </w:pPr>
    <w:rPr>
      <w:rFonts w:asciiTheme="majorHAnsi" w:eastAsiaTheme="majorEastAsia" w:hAnsiTheme="majorHAnsi" w:cstheme="majorBidi"/>
      <w:b/>
      <w:bCs/>
      <w:iCs/>
      <w:color w:val="000000" w:themeColor="accent1"/>
      <w:sz w:val="24"/>
      <w:szCs w:val="24"/>
    </w:rPr>
  </w:style>
  <w:style w:type="paragraph" w:styleId="Heading5">
    <w:name w:val="heading 5"/>
    <w:basedOn w:val="Normal"/>
    <w:next w:val="Normal"/>
    <w:link w:val="Heading5Char"/>
    <w:uiPriority w:val="5"/>
    <w:qFormat/>
    <w:rsid w:val="002E40EE"/>
    <w:pPr>
      <w:keepNext/>
      <w:keepLines/>
      <w:spacing w:before="40" w:after="0"/>
      <w:outlineLvl w:val="4"/>
    </w:pPr>
    <w:rPr>
      <w:rFonts w:asciiTheme="majorHAnsi" w:eastAsiaTheme="majorEastAsia" w:hAnsiTheme="majorHAnsi" w:cstheme="majorBidi"/>
      <w:b/>
      <w:i/>
      <w:color w:val="000000" w:themeColor="accent1" w:themeShade="7F"/>
    </w:rPr>
  </w:style>
  <w:style w:type="paragraph" w:styleId="Heading6">
    <w:name w:val="heading 6"/>
    <w:basedOn w:val="Normal"/>
    <w:next w:val="Normal"/>
    <w:link w:val="Heading6Char"/>
    <w:uiPriority w:val="6"/>
    <w:unhideWhenUsed/>
    <w:rsid w:val="00012921"/>
    <w:pPr>
      <w:keepNext/>
      <w:keepLines/>
      <w:spacing w:before="200" w:after="0"/>
      <w:outlineLvl w:val="5"/>
    </w:pPr>
    <w:rPr>
      <w:rFonts w:asciiTheme="majorHAnsi" w:eastAsiaTheme="majorEastAsia" w:hAnsiTheme="majorHAnsi" w:cstheme="majorBidi"/>
      <w:iCs/>
      <w:color w:val="00000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6E6"/>
    <w:rPr>
      <w:color w:val="000000" w:themeColor="text2"/>
      <w:sz w:val="48"/>
      <w:szCs w:val="40"/>
    </w:rPr>
  </w:style>
  <w:style w:type="character" w:customStyle="1" w:styleId="Heading2Char">
    <w:name w:val="Heading 2 Char"/>
    <w:basedOn w:val="DefaultParagraphFont"/>
    <w:link w:val="Heading2"/>
    <w:uiPriority w:val="2"/>
    <w:rsid w:val="00F104FF"/>
    <w:rPr>
      <w:b/>
      <w:sz w:val="32"/>
      <w:szCs w:val="33"/>
    </w:rPr>
  </w:style>
  <w:style w:type="character" w:customStyle="1" w:styleId="Heading3Char">
    <w:name w:val="Heading 3 Char"/>
    <w:basedOn w:val="DefaultParagraphFont"/>
    <w:link w:val="Heading3"/>
    <w:uiPriority w:val="3"/>
    <w:rsid w:val="004D299B"/>
    <w:rPr>
      <w:sz w:val="32"/>
      <w:szCs w:val="32"/>
    </w:rPr>
  </w:style>
  <w:style w:type="table" w:customStyle="1" w:styleId="EYStandardtable-grey">
    <w:name w:val="EY Standard table - grey"/>
    <w:basedOn w:val="TableNormal"/>
    <w:uiPriority w:val="99"/>
    <w:rsid w:val="00DD5289"/>
    <w:pPr>
      <w:spacing w:after="0" w:line="240" w:lineRule="auto"/>
    </w:pPr>
    <w:rPr>
      <w:rFonts w:ascii="Times New Roman" w:eastAsia="Times New Roman" w:hAnsi="Times New Roman" w:cs="Times New Roman"/>
      <w:sz w:val="20"/>
      <w:szCs w:val="20"/>
      <w:lang w:eastAsia="en-AU"/>
    </w:rPr>
    <w:tblPr>
      <w:tblInd w:w="0" w:type="dxa"/>
      <w:tblBorders>
        <w:insideH w:val="single" w:sz="4" w:space="0" w:color="999999" w:themeColor="accent2"/>
      </w:tblBorders>
      <w:tblCellMar>
        <w:top w:w="0" w:type="dxa"/>
        <w:left w:w="108" w:type="dxa"/>
        <w:bottom w:w="0" w:type="dxa"/>
        <w:right w:w="108" w:type="dxa"/>
      </w:tblCellMar>
    </w:tblPr>
    <w:tblStylePr w:type="firstRow">
      <w:tblPr/>
      <w:tcPr>
        <w:tcBorders>
          <w:top w:val="nil"/>
          <w:left w:val="nil"/>
          <w:bottom w:val="nil"/>
          <w:right w:val="nil"/>
          <w:insideH w:val="single" w:sz="18" w:space="0" w:color="FFFFFF" w:themeColor="background1"/>
          <w:insideV w:val="single" w:sz="18" w:space="0" w:color="FFFFFF" w:themeColor="background1"/>
          <w:tl2br w:val="nil"/>
          <w:tr2bl w:val="nil"/>
        </w:tcBorders>
        <w:shd w:val="clear" w:color="auto" w:fill="000000" w:themeFill="accent1"/>
      </w:tcPr>
    </w:tblStylePr>
  </w:style>
  <w:style w:type="table" w:customStyle="1" w:styleId="PHAROSShadedText">
    <w:name w:val="PHAROS Shaded Text"/>
    <w:basedOn w:val="TableNormal"/>
    <w:uiPriority w:val="99"/>
    <w:rsid w:val="00085B2A"/>
    <w:pPr>
      <w:spacing w:after="0" w:line="240" w:lineRule="auto"/>
    </w:pPr>
    <w:tblPr>
      <w:tblInd w:w="0" w:type="dxa"/>
      <w:tblCellMar>
        <w:top w:w="142" w:type="dxa"/>
        <w:left w:w="142" w:type="dxa"/>
        <w:bottom w:w="0" w:type="dxa"/>
        <w:right w:w="142" w:type="dxa"/>
      </w:tblCellMar>
    </w:tblPr>
    <w:tcPr>
      <w:shd w:val="clear" w:color="auto" w:fill="E6EAEE"/>
    </w:tcPr>
  </w:style>
  <w:style w:type="paragraph" w:styleId="BalloonText">
    <w:name w:val="Balloon Text"/>
    <w:basedOn w:val="Normal"/>
    <w:link w:val="BalloonTextChar"/>
    <w:uiPriority w:val="99"/>
    <w:semiHidden/>
    <w:unhideWhenUsed/>
    <w:rsid w:val="00A318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8C9"/>
    <w:rPr>
      <w:rFonts w:ascii="Tahoma" w:hAnsi="Tahoma" w:cs="Tahoma"/>
      <w:sz w:val="16"/>
      <w:szCs w:val="16"/>
    </w:rPr>
  </w:style>
  <w:style w:type="paragraph" w:styleId="Header">
    <w:name w:val="header"/>
    <w:basedOn w:val="Normal"/>
    <w:link w:val="HeaderChar"/>
    <w:uiPriority w:val="99"/>
    <w:unhideWhenUsed/>
    <w:rsid w:val="00A7286E"/>
    <w:pPr>
      <w:spacing w:after="1680" w:line="840" w:lineRule="exact"/>
    </w:pPr>
    <w:rPr>
      <w:caps/>
      <w:color w:val="000000" w:themeColor="text2"/>
      <w:sz w:val="84"/>
      <w:szCs w:val="84"/>
    </w:rPr>
  </w:style>
  <w:style w:type="character" w:customStyle="1" w:styleId="HeaderChar">
    <w:name w:val="Header Char"/>
    <w:basedOn w:val="DefaultParagraphFont"/>
    <w:link w:val="Header"/>
    <w:uiPriority w:val="99"/>
    <w:rsid w:val="00A7286E"/>
    <w:rPr>
      <w:caps/>
      <w:color w:val="000000" w:themeColor="text2"/>
      <w:sz w:val="84"/>
      <w:szCs w:val="84"/>
    </w:rPr>
  </w:style>
  <w:style w:type="paragraph" w:styleId="Footer">
    <w:name w:val="footer"/>
    <w:basedOn w:val="Normal"/>
    <w:link w:val="FooterChar"/>
    <w:uiPriority w:val="99"/>
    <w:unhideWhenUsed/>
    <w:rsid w:val="00B93F2B"/>
    <w:pPr>
      <w:tabs>
        <w:tab w:val="left" w:pos="255"/>
      </w:tabs>
      <w:autoSpaceDE w:val="0"/>
      <w:autoSpaceDN w:val="0"/>
      <w:adjustRightInd w:val="0"/>
      <w:spacing w:after="113" w:line="200" w:lineRule="atLeast"/>
      <w:textAlignment w:val="center"/>
    </w:pPr>
    <w:rPr>
      <w:rFonts w:asciiTheme="majorHAnsi" w:hAnsiTheme="majorHAnsi" w:cstheme="majorHAnsi"/>
      <w:color w:val="595959" w:themeColor="text1" w:themeTint="A6"/>
      <w:sz w:val="14"/>
      <w:szCs w:val="14"/>
      <w:lang w:val="en-US"/>
    </w:rPr>
  </w:style>
  <w:style w:type="character" w:customStyle="1" w:styleId="FooterChar">
    <w:name w:val="Footer Char"/>
    <w:basedOn w:val="DefaultParagraphFont"/>
    <w:link w:val="Footer"/>
    <w:uiPriority w:val="99"/>
    <w:rsid w:val="00B93F2B"/>
    <w:rPr>
      <w:rFonts w:asciiTheme="majorHAnsi" w:hAnsiTheme="majorHAnsi" w:cstheme="majorHAnsi"/>
      <w:color w:val="595959" w:themeColor="text1" w:themeTint="A6"/>
      <w:sz w:val="14"/>
      <w:szCs w:val="14"/>
      <w:lang w:val="en-US"/>
    </w:rPr>
  </w:style>
  <w:style w:type="paragraph" w:customStyle="1" w:styleId="1pixel">
    <w:name w:val="1 pixel"/>
    <w:basedOn w:val="Footer"/>
    <w:uiPriority w:val="29"/>
    <w:rsid w:val="00164128"/>
    <w:pPr>
      <w:spacing w:after="0" w:line="240" w:lineRule="auto"/>
    </w:pPr>
    <w:rPr>
      <w:sz w:val="2"/>
      <w:szCs w:val="2"/>
    </w:rPr>
  </w:style>
  <w:style w:type="character" w:styleId="Hyperlink">
    <w:name w:val="Hyperlink"/>
    <w:basedOn w:val="DefaultParagraphFont"/>
    <w:uiPriority w:val="99"/>
    <w:rsid w:val="00E07C4E"/>
    <w:rPr>
      <w:color w:val="0000FF"/>
      <w:u w:val="single" w:color="000000" w:themeColor="text2"/>
    </w:rPr>
  </w:style>
  <w:style w:type="table" w:styleId="TableGrid">
    <w:name w:val="Table Grid"/>
    <w:basedOn w:val="TableNormal"/>
    <w:uiPriority w:val="59"/>
    <w:rsid w:val="008B17D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paragraph" w:customStyle="1" w:styleId="ReportTitle">
    <w:name w:val="Report Title"/>
    <w:basedOn w:val="Normal"/>
    <w:uiPriority w:val="7"/>
    <w:qFormat/>
    <w:rsid w:val="000353EE"/>
    <w:pPr>
      <w:spacing w:after="0" w:line="920" w:lineRule="exact"/>
      <w:ind w:right="51"/>
    </w:pPr>
    <w:rPr>
      <w:noProof/>
      <w:color w:val="FFFFFF" w:themeColor="background1"/>
      <w:sz w:val="76"/>
      <w:szCs w:val="96"/>
      <w:lang w:eastAsia="en-AU"/>
    </w:rPr>
  </w:style>
  <w:style w:type="paragraph" w:customStyle="1" w:styleId="ReportSubtitle">
    <w:name w:val="Report Subtitle"/>
    <w:basedOn w:val="ReportTitle"/>
    <w:uiPriority w:val="8"/>
    <w:qFormat/>
    <w:rsid w:val="000353EE"/>
    <w:pPr>
      <w:spacing w:before="280" w:line="240" w:lineRule="auto"/>
    </w:pPr>
    <w:rPr>
      <w:sz w:val="48"/>
      <w:szCs w:val="48"/>
    </w:rPr>
  </w:style>
  <w:style w:type="paragraph" w:customStyle="1" w:styleId="Pull-outHeading">
    <w:name w:val="Pull-out Heading"/>
    <w:basedOn w:val="Normal"/>
    <w:uiPriority w:val="13"/>
    <w:qFormat/>
    <w:rsid w:val="00CC794E"/>
    <w:pPr>
      <w:pBdr>
        <w:top w:val="single" w:sz="12" w:space="10" w:color="313133"/>
        <w:left w:val="single" w:sz="12" w:space="10" w:color="313133"/>
        <w:bottom w:val="single" w:sz="12" w:space="10" w:color="313133"/>
        <w:right w:val="single" w:sz="12" w:space="10" w:color="313133"/>
      </w:pBdr>
      <w:spacing w:after="60"/>
      <w:ind w:left="227" w:right="227"/>
    </w:pPr>
    <w:rPr>
      <w:b/>
      <w:color w:val="000000" w:themeColor="text2"/>
      <w:sz w:val="28"/>
    </w:rPr>
  </w:style>
  <w:style w:type="paragraph" w:customStyle="1" w:styleId="Pull-outSubheading">
    <w:name w:val="Pull-out Subheading"/>
    <w:basedOn w:val="Pull-outHeading"/>
    <w:uiPriority w:val="14"/>
    <w:qFormat/>
    <w:rsid w:val="00CC794E"/>
    <w:pPr>
      <w:spacing w:after="120"/>
    </w:pPr>
    <w:rPr>
      <w:i/>
      <w:color w:val="auto"/>
      <w:sz w:val="24"/>
    </w:rPr>
  </w:style>
  <w:style w:type="paragraph" w:customStyle="1" w:styleId="Pull-outText">
    <w:name w:val="Pull-out Text"/>
    <w:basedOn w:val="Pull-outSubheading"/>
    <w:uiPriority w:val="16"/>
    <w:qFormat/>
    <w:rsid w:val="00E3053E"/>
    <w:rPr>
      <w:b w:val="0"/>
      <w:i w:val="0"/>
      <w:sz w:val="22"/>
    </w:rPr>
  </w:style>
  <w:style w:type="paragraph" w:customStyle="1" w:styleId="PageNumber1">
    <w:name w:val="Page Number1"/>
    <w:basedOn w:val="Footer"/>
    <w:uiPriority w:val="17"/>
    <w:qFormat/>
    <w:rsid w:val="008F0C7A"/>
    <w:pPr>
      <w:jc w:val="right"/>
    </w:pPr>
    <w:rPr>
      <w:noProof/>
      <w:color w:val="000000" w:themeColor="text2"/>
      <w:sz w:val="18"/>
      <w:szCs w:val="18"/>
      <w:lang w:val="en-AU" w:eastAsia="en-AU"/>
    </w:rPr>
  </w:style>
  <w:style w:type="paragraph" w:styleId="TOCHeading">
    <w:name w:val="TOC Heading"/>
    <w:basedOn w:val="Heading1"/>
    <w:next w:val="Normal"/>
    <w:uiPriority w:val="39"/>
    <w:unhideWhenUsed/>
    <w:qFormat/>
    <w:rsid w:val="008F0C7A"/>
    <w:pPr>
      <w:keepNext/>
      <w:keepLines/>
      <w:outlineLvl w:val="9"/>
    </w:pPr>
    <w:rPr>
      <w:rFonts w:eastAsiaTheme="majorEastAsia" w:cstheme="majorBidi"/>
      <w:bCs/>
      <w:szCs w:val="28"/>
      <w:lang w:val="en-US" w:eastAsia="ja-JP"/>
    </w:rPr>
  </w:style>
  <w:style w:type="paragraph" w:styleId="TOC1">
    <w:name w:val="toc 1"/>
    <w:basedOn w:val="Normal"/>
    <w:next w:val="Normal"/>
    <w:autoRedefine/>
    <w:uiPriority w:val="39"/>
    <w:unhideWhenUsed/>
    <w:qFormat/>
    <w:rsid w:val="001D0C47"/>
    <w:pPr>
      <w:tabs>
        <w:tab w:val="right" w:leader="dot" w:pos="9639"/>
      </w:tabs>
      <w:spacing w:before="120" w:after="120" w:line="480" w:lineRule="auto"/>
    </w:pPr>
  </w:style>
  <w:style w:type="paragraph" w:styleId="TOC2">
    <w:name w:val="toc 2"/>
    <w:basedOn w:val="Normal"/>
    <w:next w:val="Normal"/>
    <w:autoRedefine/>
    <w:uiPriority w:val="39"/>
    <w:unhideWhenUsed/>
    <w:qFormat/>
    <w:rsid w:val="00F67A25"/>
    <w:pPr>
      <w:spacing w:after="100"/>
      <w:ind w:left="200"/>
    </w:pPr>
  </w:style>
  <w:style w:type="paragraph" w:styleId="TOC3">
    <w:name w:val="toc 3"/>
    <w:basedOn w:val="Normal"/>
    <w:next w:val="Normal"/>
    <w:autoRedefine/>
    <w:uiPriority w:val="39"/>
    <w:unhideWhenUsed/>
    <w:qFormat/>
    <w:rsid w:val="00F67A25"/>
    <w:pPr>
      <w:spacing w:after="100"/>
      <w:ind w:left="400"/>
    </w:pPr>
  </w:style>
  <w:style w:type="character" w:customStyle="1" w:styleId="Heading4Char">
    <w:name w:val="Heading 4 Char"/>
    <w:basedOn w:val="DefaultParagraphFont"/>
    <w:link w:val="Heading4"/>
    <w:uiPriority w:val="4"/>
    <w:rsid w:val="004D299B"/>
    <w:rPr>
      <w:rFonts w:asciiTheme="majorHAnsi" w:eastAsiaTheme="majorEastAsia" w:hAnsiTheme="majorHAnsi" w:cstheme="majorBidi"/>
      <w:b/>
      <w:bCs/>
      <w:iCs/>
      <w:color w:val="000000" w:themeColor="accent1"/>
      <w:sz w:val="24"/>
      <w:szCs w:val="24"/>
    </w:rPr>
  </w:style>
  <w:style w:type="character" w:styleId="SubtleEmphasis">
    <w:name w:val="Subtle Emphasis"/>
    <w:basedOn w:val="DefaultParagraphFont"/>
    <w:uiPriority w:val="19"/>
    <w:rsid w:val="008F0C7A"/>
    <w:rPr>
      <w:i/>
      <w:iCs/>
      <w:color w:val="808080" w:themeColor="text1" w:themeTint="7F"/>
    </w:rPr>
  </w:style>
  <w:style w:type="character" w:customStyle="1" w:styleId="Heading5Char">
    <w:name w:val="Heading 5 Char"/>
    <w:basedOn w:val="DefaultParagraphFont"/>
    <w:link w:val="Heading5"/>
    <w:uiPriority w:val="5"/>
    <w:rsid w:val="002E40EE"/>
    <w:rPr>
      <w:rFonts w:asciiTheme="majorHAnsi" w:eastAsiaTheme="majorEastAsia" w:hAnsiTheme="majorHAnsi" w:cstheme="majorBidi"/>
      <w:b/>
      <w:i/>
      <w:color w:val="000000" w:themeColor="accent1" w:themeShade="7F"/>
      <w:szCs w:val="20"/>
    </w:rPr>
  </w:style>
  <w:style w:type="paragraph" w:styleId="ListParagraph">
    <w:name w:val="List Paragraph"/>
    <w:basedOn w:val="Normal"/>
    <w:uiPriority w:val="34"/>
    <w:qFormat/>
    <w:rsid w:val="00846B28"/>
    <w:pPr>
      <w:spacing w:after="120" w:line="240" w:lineRule="auto"/>
      <w:ind w:left="720"/>
      <w:contextualSpacing/>
    </w:pPr>
  </w:style>
  <w:style w:type="paragraph" w:styleId="FootnoteText">
    <w:name w:val="footnote text"/>
    <w:basedOn w:val="Normal"/>
    <w:link w:val="FootnoteTextChar"/>
    <w:uiPriority w:val="99"/>
    <w:semiHidden/>
    <w:unhideWhenUsed/>
    <w:rsid w:val="00846B28"/>
    <w:pPr>
      <w:spacing w:after="0" w:line="240" w:lineRule="auto"/>
    </w:pPr>
    <w:rPr>
      <w:sz w:val="20"/>
    </w:rPr>
  </w:style>
  <w:style w:type="character" w:customStyle="1" w:styleId="FootnoteTextChar">
    <w:name w:val="Footnote Text Char"/>
    <w:basedOn w:val="DefaultParagraphFont"/>
    <w:link w:val="FootnoteText"/>
    <w:uiPriority w:val="99"/>
    <w:semiHidden/>
    <w:rsid w:val="00846B28"/>
    <w:rPr>
      <w:sz w:val="20"/>
      <w:szCs w:val="20"/>
    </w:rPr>
  </w:style>
  <w:style w:type="character" w:styleId="FootnoteReference">
    <w:name w:val="footnote reference"/>
    <w:basedOn w:val="DefaultParagraphFont"/>
    <w:uiPriority w:val="99"/>
    <w:semiHidden/>
    <w:unhideWhenUsed/>
    <w:rsid w:val="00846B28"/>
    <w:rPr>
      <w:vertAlign w:val="superscript"/>
    </w:rPr>
  </w:style>
  <w:style w:type="paragraph" w:styleId="Caption">
    <w:name w:val="caption"/>
    <w:basedOn w:val="Normal"/>
    <w:next w:val="Normal"/>
    <w:uiPriority w:val="35"/>
    <w:unhideWhenUsed/>
    <w:qFormat/>
    <w:rsid w:val="00012921"/>
    <w:pPr>
      <w:spacing w:line="240" w:lineRule="auto"/>
    </w:pPr>
    <w:rPr>
      <w:b/>
      <w:bCs/>
      <w:color w:val="000000" w:themeColor="accent1"/>
      <w:sz w:val="18"/>
      <w:szCs w:val="18"/>
    </w:rPr>
  </w:style>
  <w:style w:type="character" w:customStyle="1" w:styleId="Heading6Char">
    <w:name w:val="Heading 6 Char"/>
    <w:basedOn w:val="DefaultParagraphFont"/>
    <w:link w:val="Heading6"/>
    <w:uiPriority w:val="6"/>
    <w:rsid w:val="00CC794E"/>
    <w:rPr>
      <w:rFonts w:asciiTheme="majorHAnsi" w:eastAsiaTheme="majorEastAsia" w:hAnsiTheme="majorHAnsi" w:cstheme="majorBidi"/>
      <w:iCs/>
      <w:color w:val="000000" w:themeColor="accent1" w:themeShade="7F"/>
      <w:sz w:val="24"/>
      <w:szCs w:val="20"/>
    </w:rPr>
  </w:style>
  <w:style w:type="character" w:styleId="BookTitle">
    <w:name w:val="Book Title"/>
    <w:basedOn w:val="DefaultParagraphFont"/>
    <w:uiPriority w:val="33"/>
    <w:rsid w:val="00E67D13"/>
    <w:rPr>
      <w:b/>
      <w:bCs/>
      <w:smallCaps/>
      <w:spacing w:val="5"/>
    </w:rPr>
  </w:style>
  <w:style w:type="paragraph" w:customStyle="1" w:styleId="paragraph">
    <w:name w:val="paragraph"/>
    <w:basedOn w:val="Normal"/>
    <w:uiPriority w:val="39"/>
    <w:rsid w:val="006E29C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g-directive">
    <w:name w:val="ng-directive"/>
    <w:basedOn w:val="DefaultParagraphFont"/>
    <w:uiPriority w:val="39"/>
    <w:rsid w:val="006E29C5"/>
  </w:style>
  <w:style w:type="character" w:styleId="FollowedHyperlink">
    <w:name w:val="FollowedHyperlink"/>
    <w:basedOn w:val="DefaultParagraphFont"/>
    <w:uiPriority w:val="99"/>
    <w:semiHidden/>
    <w:unhideWhenUsed/>
    <w:rsid w:val="00E07C4E"/>
    <w:rPr>
      <w:color w:val="800080" w:themeColor="followedHyperlink"/>
      <w:u w:val="single"/>
    </w:rPr>
  </w:style>
  <w:style w:type="paragraph" w:customStyle="1" w:styleId="para">
    <w:name w:val="para"/>
    <w:uiPriority w:val="99"/>
    <w:rsid w:val="00D2400B"/>
    <w:pPr>
      <w:keepLines/>
      <w:tabs>
        <w:tab w:val="left" w:pos="0"/>
      </w:tabs>
      <w:autoSpaceDE w:val="0"/>
      <w:autoSpaceDN w:val="0"/>
      <w:spacing w:before="80" w:after="60" w:line="240" w:lineRule="exact"/>
      <w:jc w:val="both"/>
    </w:pPr>
    <w:rPr>
      <w:rFonts w:ascii="Arial" w:eastAsiaTheme="minorEastAsia" w:hAnsi="Arial" w:cs="Arial"/>
    </w:rPr>
  </w:style>
  <w:style w:type="paragraph" w:customStyle="1" w:styleId="headL5">
    <w:name w:val="head:L5"/>
    <w:uiPriority w:val="99"/>
    <w:rsid w:val="00D2400B"/>
    <w:pPr>
      <w:keepNext/>
      <w:keepLines/>
      <w:widowControl w:val="0"/>
      <w:autoSpaceDE w:val="0"/>
      <w:autoSpaceDN w:val="0"/>
      <w:spacing w:before="120" w:after="60" w:line="240" w:lineRule="auto"/>
      <w:outlineLvl w:val="6"/>
    </w:pPr>
    <w:rPr>
      <w:rFonts w:ascii="Arial" w:eastAsiaTheme="minorEastAsia" w:hAnsi="Arial" w:cs="Arial"/>
      <w:b/>
      <w:bCs/>
    </w:rPr>
  </w:style>
  <w:style w:type="character" w:customStyle="1" w:styleId="Chartextitalics11pt">
    <w:name w:val="Char:text italics 11 pt"/>
    <w:basedOn w:val="DefaultParagraphFont"/>
    <w:uiPriority w:val="99"/>
    <w:rsid w:val="00D2400B"/>
    <w:rPr>
      <w:rFonts w:ascii="Arial" w:hAnsi="Arial" w:cs="Arial"/>
      <w:i/>
      <w:iCs/>
      <w:sz w:val="22"/>
      <w:szCs w:val="22"/>
      <w:lang w:val="en-US"/>
    </w:rPr>
  </w:style>
  <w:style w:type="paragraph" w:customStyle="1" w:styleId="acctsacctname">
    <w:name w:val="accts:acctname"/>
    <w:uiPriority w:val="99"/>
    <w:rsid w:val="00D2400B"/>
    <w:pPr>
      <w:autoSpaceDE w:val="0"/>
      <w:autoSpaceDN w:val="0"/>
      <w:spacing w:after="0" w:line="240" w:lineRule="auto"/>
      <w:jc w:val="center"/>
    </w:pPr>
    <w:rPr>
      <w:rFonts w:ascii="Arial" w:eastAsiaTheme="minorEastAsia" w:hAnsi="Arial" w:cs="Arial"/>
      <w:b/>
      <w:bCs/>
      <w:caps/>
      <w:color w:val="808080"/>
      <w:sz w:val="20"/>
      <w:szCs w:val="20"/>
      <w:lang w:val="en-US"/>
    </w:rPr>
  </w:style>
  <w:style w:type="paragraph" w:customStyle="1" w:styleId="Tabletext11pt">
    <w:name w:val="Table:text 11 pt"/>
    <w:uiPriority w:val="99"/>
    <w:rsid w:val="00D2400B"/>
    <w:pPr>
      <w:keepLines/>
      <w:autoSpaceDE w:val="0"/>
      <w:autoSpaceDN w:val="0"/>
      <w:spacing w:before="40" w:after="40" w:line="240" w:lineRule="auto"/>
      <w:jc w:val="both"/>
    </w:pPr>
    <w:rPr>
      <w:rFonts w:ascii="Arial" w:eastAsiaTheme="minorEastAsia" w:hAnsi="Arial" w:cs="Arial"/>
      <w:lang w:val="en-US"/>
    </w:rPr>
  </w:style>
  <w:style w:type="paragraph" w:styleId="Title">
    <w:name w:val="Title"/>
    <w:basedOn w:val="Normal"/>
    <w:next w:val="Normal"/>
    <w:link w:val="TitleChar"/>
    <w:uiPriority w:val="10"/>
    <w:qFormat/>
    <w:rsid w:val="00D2400B"/>
    <w:pPr>
      <w:pBdr>
        <w:bottom w:val="single" w:sz="8" w:space="4" w:color="000000" w:themeColor="accent1"/>
      </w:pBdr>
      <w:spacing w:after="300" w:line="240" w:lineRule="auto"/>
      <w:contextualSpacing/>
    </w:pPr>
    <w:rPr>
      <w:rFonts w:asciiTheme="majorHAnsi" w:eastAsiaTheme="majorEastAsia" w:hAnsiTheme="majorHAnsi" w:cstheme="majorBidi"/>
      <w:spacing w:val="5"/>
      <w:kern w:val="28"/>
      <w:sz w:val="52"/>
      <w:szCs w:val="52"/>
      <w:lang w:val="en-US"/>
    </w:rPr>
  </w:style>
  <w:style w:type="character" w:customStyle="1" w:styleId="TitleChar">
    <w:name w:val="Title Char"/>
    <w:basedOn w:val="DefaultParagraphFont"/>
    <w:link w:val="Title"/>
    <w:uiPriority w:val="10"/>
    <w:rsid w:val="00D2400B"/>
    <w:rPr>
      <w:rFonts w:asciiTheme="majorHAnsi" w:eastAsiaTheme="majorEastAsia" w:hAnsiTheme="majorHAnsi" w:cstheme="majorBidi"/>
      <w:spacing w:val="5"/>
      <w:kern w:val="28"/>
      <w:sz w:val="52"/>
      <w:szCs w:val="52"/>
      <w:lang w:val="en-US"/>
    </w:rPr>
  </w:style>
  <w:style w:type="table" w:customStyle="1" w:styleId="TableGrid1">
    <w:name w:val="Table Grid1"/>
    <w:basedOn w:val="TableNormal"/>
    <w:next w:val="TableGrid"/>
    <w:uiPriority w:val="59"/>
    <w:rsid w:val="00D2400B"/>
    <w:pPr>
      <w:spacing w:after="0" w:line="240" w:lineRule="auto"/>
    </w:pPr>
    <w:rPr>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24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2400B"/>
    <w:rPr>
      <w:b/>
      <w:bCs/>
    </w:rPr>
  </w:style>
  <w:style w:type="character" w:styleId="Emphasis">
    <w:name w:val="Emphasis"/>
    <w:basedOn w:val="DefaultParagraphFont"/>
    <w:uiPriority w:val="20"/>
    <w:qFormat/>
    <w:rsid w:val="00BE7EB4"/>
    <w:rPr>
      <w:i/>
      <w:iCs/>
    </w:rPr>
  </w:style>
  <w:style w:type="paragraph" w:styleId="Quote">
    <w:name w:val="Quote"/>
    <w:basedOn w:val="Normal"/>
    <w:next w:val="Normal"/>
    <w:link w:val="QuoteChar"/>
    <w:uiPriority w:val="29"/>
    <w:qFormat/>
    <w:rsid w:val="00ED4ED0"/>
    <w:rPr>
      <w:i/>
      <w:iCs/>
      <w:color w:val="000000" w:themeColor="text1"/>
    </w:rPr>
  </w:style>
  <w:style w:type="character" w:customStyle="1" w:styleId="QuoteChar">
    <w:name w:val="Quote Char"/>
    <w:basedOn w:val="DefaultParagraphFont"/>
    <w:link w:val="Quote"/>
    <w:uiPriority w:val="29"/>
    <w:rsid w:val="00ED4ED0"/>
    <w:rPr>
      <w:i/>
      <w:iCs/>
      <w:color w:val="000000" w:themeColor="text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026164">
      <w:bodyDiv w:val="1"/>
      <w:marLeft w:val="0"/>
      <w:marRight w:val="0"/>
      <w:marTop w:val="0"/>
      <w:marBottom w:val="0"/>
      <w:divBdr>
        <w:top w:val="none" w:sz="0" w:space="0" w:color="auto"/>
        <w:left w:val="none" w:sz="0" w:space="0" w:color="auto"/>
        <w:bottom w:val="none" w:sz="0" w:space="0" w:color="auto"/>
        <w:right w:val="none" w:sz="0" w:space="0" w:color="auto"/>
      </w:divBdr>
    </w:div>
    <w:div w:id="719481123">
      <w:bodyDiv w:val="1"/>
      <w:marLeft w:val="0"/>
      <w:marRight w:val="0"/>
      <w:marTop w:val="0"/>
      <w:marBottom w:val="0"/>
      <w:divBdr>
        <w:top w:val="none" w:sz="0" w:space="0" w:color="auto"/>
        <w:left w:val="none" w:sz="0" w:space="0" w:color="auto"/>
        <w:bottom w:val="none" w:sz="0" w:space="0" w:color="auto"/>
        <w:right w:val="none" w:sz="0" w:space="0" w:color="auto"/>
      </w:divBdr>
    </w:div>
    <w:div w:id="773860245">
      <w:bodyDiv w:val="1"/>
      <w:marLeft w:val="0"/>
      <w:marRight w:val="0"/>
      <w:marTop w:val="0"/>
      <w:marBottom w:val="0"/>
      <w:divBdr>
        <w:top w:val="none" w:sz="0" w:space="0" w:color="auto"/>
        <w:left w:val="none" w:sz="0" w:space="0" w:color="auto"/>
        <w:bottom w:val="none" w:sz="0" w:space="0" w:color="auto"/>
        <w:right w:val="none" w:sz="0" w:space="0" w:color="auto"/>
      </w:divBdr>
    </w:div>
    <w:div w:id="96462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file:///C:\Users\allayne.woodford\AppData\Local\Microsoft\Windows\Temporary%20Internet%20Files\Content.Outlook\C2RH8MLY\mediaaccess.org.au" TargetMode="Externa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ayne.woodford\AppData\Roaming\Microsoft\Templates\Full%20MAA_July2013.dotx" TargetMode="External"/></Relationships>
</file>

<file path=word/theme/theme1.xml><?xml version="1.0" encoding="utf-8"?>
<a:theme xmlns:a="http://schemas.openxmlformats.org/drawingml/2006/main" name="Office Theme">
  <a:themeElements>
    <a:clrScheme name="Media Access Australia Black">
      <a:dk1>
        <a:sysClr val="windowText" lastClr="000000"/>
      </a:dk1>
      <a:lt1>
        <a:sysClr val="window" lastClr="FFFFFF"/>
      </a:lt1>
      <a:dk2>
        <a:srgbClr val="000000"/>
      </a:dk2>
      <a:lt2>
        <a:srgbClr val="D1D3D4"/>
      </a:lt2>
      <a:accent1>
        <a:srgbClr val="000000"/>
      </a:accent1>
      <a:accent2>
        <a:srgbClr val="999999"/>
      </a:accent2>
      <a:accent3>
        <a:srgbClr val="4CAA48"/>
      </a:accent3>
      <a:accent4>
        <a:srgbClr val="D1D3D4"/>
      </a:accent4>
      <a:accent5>
        <a:srgbClr val="00AEEF"/>
      </a:accent5>
      <a:accent6>
        <a:srgbClr val="D80073"/>
      </a:accent6>
      <a:hlink>
        <a:srgbClr val="F2AF32"/>
      </a:hlink>
      <a:folHlink>
        <a:srgbClr val="800080"/>
      </a:folHlink>
    </a:clrScheme>
    <a:fontScheme name="Media Access Australi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A9168-5E12-4D50-8F6D-D4CCC9423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MAA_July2013</Template>
  <TotalTime>3</TotalTime>
  <Pages>36</Pages>
  <Words>8130</Words>
  <Characters>46342</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Draft 2013 MAA annual report</vt:lpstr>
    </vt:vector>
  </TitlesOfParts>
  <Company>Netspin Multimedia</Company>
  <LinksUpToDate>false</LinksUpToDate>
  <CharactersWithSpaces>54364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2013 MAA annual report</dc:title>
  <dc:creator>Allayne Woodford</dc:creator>
  <cp:lastModifiedBy>Toni Simons</cp:lastModifiedBy>
  <cp:revision>3</cp:revision>
  <cp:lastPrinted>2013-10-21T02:44:00Z</cp:lastPrinted>
  <dcterms:created xsi:type="dcterms:W3CDTF">2013-10-28T22:55:00Z</dcterms:created>
  <dcterms:modified xsi:type="dcterms:W3CDTF">2013-11-05T00:04:00Z</dcterms:modified>
</cp:coreProperties>
</file>