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362D214" w14:textId="77777777" w:rsidR="00D32CC7" w:rsidRDefault="00D32CC7" w:rsidP="00E71696"/>
    <w:p w14:paraId="412226DA" w14:textId="77777777" w:rsidR="009B6735" w:rsidRPr="009520DE" w:rsidRDefault="009B6735" w:rsidP="009520DE">
      <w:pPr>
        <w:pStyle w:val="Title"/>
        <w:jc w:val="center"/>
        <w:rPr>
          <w:rFonts w:ascii="Klavika Light" w:hAnsi="Klavika Light"/>
          <w:sz w:val="72"/>
        </w:rPr>
      </w:pPr>
      <w:r w:rsidRPr="009520DE">
        <w:rPr>
          <w:rFonts w:ascii="Klavika Light" w:hAnsi="Klavika Light"/>
          <w:sz w:val="72"/>
        </w:rPr>
        <w:t>MEDIA ACCESS AUSTRALIA</w:t>
      </w:r>
    </w:p>
    <w:p w14:paraId="56394E03" w14:textId="77777777" w:rsidR="009B6735" w:rsidRPr="009520DE" w:rsidRDefault="009B6735" w:rsidP="009520DE">
      <w:pPr>
        <w:jc w:val="center"/>
        <w:rPr>
          <w:b/>
          <w:sz w:val="24"/>
          <w:lang w:val="es-ES_tradnl"/>
        </w:rPr>
      </w:pPr>
      <w:r w:rsidRPr="009520DE">
        <w:rPr>
          <w:b/>
          <w:sz w:val="24"/>
          <w:lang w:val="es-ES_tradnl"/>
        </w:rPr>
        <w:t xml:space="preserve">ABN </w:t>
      </w:r>
      <w:r w:rsidRPr="009520DE">
        <w:rPr>
          <w:sz w:val="24"/>
          <w:lang w:val="es-ES_tradnl"/>
        </w:rPr>
        <w:t>75 002 259 154</w:t>
      </w:r>
    </w:p>
    <w:p w14:paraId="6F72BA9B" w14:textId="77777777" w:rsidR="009B6735" w:rsidRPr="009520DE" w:rsidRDefault="009B6735" w:rsidP="009520DE">
      <w:pPr>
        <w:jc w:val="center"/>
        <w:rPr>
          <w:rStyle w:val="Strong"/>
          <w:sz w:val="44"/>
        </w:rPr>
      </w:pPr>
      <w:r w:rsidRPr="009520DE">
        <w:rPr>
          <w:rStyle w:val="Strong"/>
          <w:sz w:val="44"/>
        </w:rPr>
        <w:t>Financial Report</w:t>
      </w:r>
    </w:p>
    <w:p w14:paraId="1F6DAD45" w14:textId="77777777" w:rsidR="009B6735" w:rsidRPr="009520DE" w:rsidRDefault="009B6735" w:rsidP="009520DE">
      <w:pPr>
        <w:jc w:val="center"/>
        <w:rPr>
          <w:rStyle w:val="Strong"/>
        </w:rPr>
      </w:pPr>
      <w:r w:rsidRPr="009520DE">
        <w:rPr>
          <w:rStyle w:val="Strong"/>
        </w:rPr>
        <w:t xml:space="preserve">For the Year ended 30 June </w:t>
      </w:r>
      <w:r w:rsidR="00EF1D9F" w:rsidRPr="009520DE">
        <w:rPr>
          <w:rStyle w:val="Strong"/>
        </w:rPr>
        <w:t>2016</w:t>
      </w:r>
    </w:p>
    <w:p w14:paraId="58C7E7AF" w14:textId="77777777" w:rsidR="00CC3FB2" w:rsidRDefault="00CC3FB2" w:rsidP="00E71696"/>
    <w:p w14:paraId="4D9CE557" w14:textId="77777777" w:rsidR="00795A9E" w:rsidRDefault="00795A9E" w:rsidP="00E71696"/>
    <w:p w14:paraId="17171A11" w14:textId="77777777" w:rsidR="00795A9E" w:rsidRPr="00F07911" w:rsidRDefault="00795A9E" w:rsidP="00E71696">
      <w:pPr>
        <w:sectPr w:rsidR="00795A9E" w:rsidRPr="00F07911" w:rsidSect="007C6542">
          <w:headerReference w:type="default" r:id="rId9"/>
          <w:pgSz w:w="11904" w:h="16836"/>
          <w:pgMar w:top="360" w:right="360" w:bottom="420" w:left="360" w:header="57" w:footer="720" w:gutter="0"/>
          <w:cols w:space="720"/>
          <w:vAlign w:val="center"/>
          <w:noEndnote/>
          <w:titlePg/>
          <w:docGrid w:linePitch="299"/>
        </w:sectPr>
      </w:pPr>
    </w:p>
    <w:sdt>
      <w:sdtPr>
        <w:rPr>
          <w:rFonts w:ascii="Helvetica Neue" w:eastAsiaTheme="minorEastAsia" w:hAnsi="Helvetica Neue" w:cs="Times New Roman"/>
          <w:b w:val="0"/>
          <w:bCs w:val="0"/>
          <w:color w:val="auto"/>
          <w:sz w:val="22"/>
          <w:szCs w:val="22"/>
          <w:lang w:val="en-AU" w:eastAsia="en-US"/>
        </w:rPr>
        <w:id w:val="-890118991"/>
        <w:docPartObj>
          <w:docPartGallery w:val="Table of Contents"/>
          <w:docPartUnique/>
        </w:docPartObj>
      </w:sdtPr>
      <w:sdtEndPr>
        <w:rPr>
          <w:rFonts w:asciiTheme="minorHAnsi" w:eastAsiaTheme="minorHAnsi" w:hAnsiTheme="minorHAnsi" w:cstheme="minorBidi"/>
          <w:noProof/>
        </w:rPr>
      </w:sdtEndPr>
      <w:sdtContent>
        <w:p w14:paraId="6C4FC162" w14:textId="4A31C82C" w:rsidR="009B6735" w:rsidRPr="0002535A" w:rsidRDefault="00E71696" w:rsidP="005132DB">
          <w:pPr>
            <w:pStyle w:val="TOCHeading"/>
            <w:rPr>
              <w:b w:val="0"/>
              <w:highlight w:val="yellow"/>
            </w:rPr>
          </w:pPr>
          <w:r w:rsidRPr="0002535A">
            <w:rPr>
              <w:b w:val="0"/>
            </w:rPr>
            <w:t>CONTENTS</w:t>
          </w:r>
        </w:p>
        <w:p w14:paraId="64539CD7" w14:textId="648AB2EA" w:rsidR="009520DE" w:rsidRDefault="009B6735">
          <w:pPr>
            <w:pStyle w:val="TOC1"/>
            <w:rPr>
              <w:rFonts w:eastAsiaTheme="minorEastAsia"/>
              <w:noProof/>
              <w:sz w:val="24"/>
              <w:szCs w:val="24"/>
              <w:lang w:eastAsia="ja-JP"/>
            </w:rPr>
          </w:pPr>
          <w:r>
            <w:rPr>
              <w:highlight w:val="yellow"/>
            </w:rPr>
            <w:fldChar w:fldCharType="begin"/>
          </w:r>
          <w:r>
            <w:rPr>
              <w:highlight w:val="yellow"/>
            </w:rPr>
            <w:instrText xml:space="preserve"> TOC \o "1-1" \h \z \u </w:instrText>
          </w:r>
          <w:r>
            <w:rPr>
              <w:highlight w:val="yellow"/>
            </w:rPr>
            <w:fldChar w:fldCharType="separate"/>
          </w:r>
          <w:r w:rsidR="009520DE">
            <w:rPr>
              <w:noProof/>
            </w:rPr>
            <w:t>Chairman’s Report</w:t>
          </w:r>
          <w:r w:rsidR="009520DE">
            <w:rPr>
              <w:noProof/>
            </w:rPr>
            <w:tab/>
          </w:r>
          <w:r w:rsidR="009520DE">
            <w:rPr>
              <w:noProof/>
            </w:rPr>
            <w:fldChar w:fldCharType="begin"/>
          </w:r>
          <w:r w:rsidR="009520DE">
            <w:rPr>
              <w:noProof/>
            </w:rPr>
            <w:instrText xml:space="preserve"> PAGEREF _Toc340406352 \h </w:instrText>
          </w:r>
          <w:r w:rsidR="009520DE">
            <w:rPr>
              <w:noProof/>
            </w:rPr>
          </w:r>
          <w:r w:rsidR="009520DE">
            <w:rPr>
              <w:noProof/>
            </w:rPr>
            <w:fldChar w:fldCharType="separate"/>
          </w:r>
          <w:r w:rsidR="009520DE">
            <w:rPr>
              <w:noProof/>
            </w:rPr>
            <w:t>3</w:t>
          </w:r>
          <w:r w:rsidR="009520DE">
            <w:rPr>
              <w:noProof/>
            </w:rPr>
            <w:fldChar w:fldCharType="end"/>
          </w:r>
        </w:p>
        <w:p w14:paraId="76B4C8E2" w14:textId="0FE5A099" w:rsidR="009520DE" w:rsidRDefault="009520DE">
          <w:pPr>
            <w:pStyle w:val="TOC1"/>
            <w:rPr>
              <w:rFonts w:eastAsiaTheme="minorEastAsia"/>
              <w:noProof/>
              <w:sz w:val="24"/>
              <w:szCs w:val="24"/>
              <w:lang w:eastAsia="ja-JP"/>
            </w:rPr>
          </w:pPr>
          <w:r>
            <w:rPr>
              <w:noProof/>
            </w:rPr>
            <w:t>Acting Ceo’s Report</w:t>
          </w:r>
          <w:r>
            <w:rPr>
              <w:noProof/>
            </w:rPr>
            <w:tab/>
          </w:r>
          <w:r>
            <w:rPr>
              <w:noProof/>
            </w:rPr>
            <w:fldChar w:fldCharType="begin"/>
          </w:r>
          <w:r>
            <w:rPr>
              <w:noProof/>
            </w:rPr>
            <w:instrText xml:space="preserve"> PAGEREF _Toc340406353 \h </w:instrText>
          </w:r>
          <w:r>
            <w:rPr>
              <w:noProof/>
            </w:rPr>
          </w:r>
          <w:r>
            <w:rPr>
              <w:noProof/>
            </w:rPr>
            <w:fldChar w:fldCharType="separate"/>
          </w:r>
          <w:r>
            <w:rPr>
              <w:noProof/>
            </w:rPr>
            <w:t>5</w:t>
          </w:r>
          <w:r>
            <w:rPr>
              <w:noProof/>
            </w:rPr>
            <w:fldChar w:fldCharType="end"/>
          </w:r>
        </w:p>
        <w:p w14:paraId="108B6BB5" w14:textId="3ED9B410" w:rsidR="009520DE" w:rsidRDefault="009520DE">
          <w:pPr>
            <w:pStyle w:val="TOC1"/>
            <w:rPr>
              <w:rFonts w:eastAsiaTheme="minorEastAsia"/>
              <w:noProof/>
              <w:sz w:val="24"/>
              <w:szCs w:val="24"/>
              <w:lang w:eastAsia="ja-JP"/>
            </w:rPr>
          </w:pPr>
          <w:r>
            <w:rPr>
              <w:noProof/>
            </w:rPr>
            <w:t>Directors’ Report</w:t>
          </w:r>
          <w:r>
            <w:rPr>
              <w:noProof/>
            </w:rPr>
            <w:tab/>
          </w:r>
          <w:r>
            <w:rPr>
              <w:noProof/>
            </w:rPr>
            <w:fldChar w:fldCharType="begin"/>
          </w:r>
          <w:r>
            <w:rPr>
              <w:noProof/>
            </w:rPr>
            <w:instrText xml:space="preserve"> PAGEREF _Toc340406354 \h </w:instrText>
          </w:r>
          <w:r>
            <w:rPr>
              <w:noProof/>
            </w:rPr>
          </w:r>
          <w:r>
            <w:rPr>
              <w:noProof/>
            </w:rPr>
            <w:fldChar w:fldCharType="separate"/>
          </w:r>
          <w:r>
            <w:rPr>
              <w:noProof/>
            </w:rPr>
            <w:t>12</w:t>
          </w:r>
          <w:r>
            <w:rPr>
              <w:noProof/>
            </w:rPr>
            <w:fldChar w:fldCharType="end"/>
          </w:r>
        </w:p>
        <w:p w14:paraId="4FAFBDEB" w14:textId="29AE2855" w:rsidR="009520DE" w:rsidRDefault="009520DE">
          <w:pPr>
            <w:pStyle w:val="TOC1"/>
            <w:rPr>
              <w:rFonts w:eastAsiaTheme="minorEastAsia"/>
              <w:noProof/>
              <w:sz w:val="24"/>
              <w:szCs w:val="24"/>
              <w:lang w:eastAsia="ja-JP"/>
            </w:rPr>
          </w:pPr>
          <w:r>
            <w:rPr>
              <w:noProof/>
            </w:rPr>
            <w:t>Balance Sheet</w:t>
          </w:r>
          <w:r>
            <w:rPr>
              <w:noProof/>
            </w:rPr>
            <w:tab/>
          </w:r>
          <w:r>
            <w:rPr>
              <w:noProof/>
            </w:rPr>
            <w:fldChar w:fldCharType="begin"/>
          </w:r>
          <w:r>
            <w:rPr>
              <w:noProof/>
            </w:rPr>
            <w:instrText xml:space="preserve"> PAGEREF _Toc340406355 \h </w:instrText>
          </w:r>
          <w:r>
            <w:rPr>
              <w:noProof/>
            </w:rPr>
          </w:r>
          <w:r>
            <w:rPr>
              <w:noProof/>
            </w:rPr>
            <w:fldChar w:fldCharType="separate"/>
          </w:r>
          <w:r>
            <w:rPr>
              <w:noProof/>
            </w:rPr>
            <w:t>16</w:t>
          </w:r>
          <w:r>
            <w:rPr>
              <w:noProof/>
            </w:rPr>
            <w:fldChar w:fldCharType="end"/>
          </w:r>
        </w:p>
        <w:p w14:paraId="2415BEEF" w14:textId="03209871" w:rsidR="009520DE" w:rsidRDefault="009520DE">
          <w:pPr>
            <w:pStyle w:val="TOC1"/>
            <w:rPr>
              <w:rFonts w:eastAsiaTheme="minorEastAsia"/>
              <w:noProof/>
              <w:sz w:val="24"/>
              <w:szCs w:val="24"/>
              <w:lang w:eastAsia="ja-JP"/>
            </w:rPr>
          </w:pPr>
          <w:r>
            <w:rPr>
              <w:noProof/>
            </w:rPr>
            <w:t>Statement Of Comprehensive Income</w:t>
          </w:r>
          <w:r>
            <w:rPr>
              <w:noProof/>
            </w:rPr>
            <w:tab/>
          </w:r>
          <w:r>
            <w:rPr>
              <w:noProof/>
            </w:rPr>
            <w:fldChar w:fldCharType="begin"/>
          </w:r>
          <w:r>
            <w:rPr>
              <w:noProof/>
            </w:rPr>
            <w:instrText xml:space="preserve"> PAGEREF _Toc340406356 \h </w:instrText>
          </w:r>
          <w:r>
            <w:rPr>
              <w:noProof/>
            </w:rPr>
          </w:r>
          <w:r>
            <w:rPr>
              <w:noProof/>
            </w:rPr>
            <w:fldChar w:fldCharType="separate"/>
          </w:r>
          <w:r>
            <w:rPr>
              <w:noProof/>
            </w:rPr>
            <w:t>17</w:t>
          </w:r>
          <w:r>
            <w:rPr>
              <w:noProof/>
            </w:rPr>
            <w:fldChar w:fldCharType="end"/>
          </w:r>
        </w:p>
        <w:p w14:paraId="714A9324" w14:textId="1140C192" w:rsidR="009520DE" w:rsidRDefault="009520DE">
          <w:pPr>
            <w:pStyle w:val="TOC1"/>
            <w:rPr>
              <w:rFonts w:eastAsiaTheme="minorEastAsia"/>
              <w:noProof/>
              <w:sz w:val="24"/>
              <w:szCs w:val="24"/>
              <w:lang w:eastAsia="ja-JP"/>
            </w:rPr>
          </w:pPr>
          <w:r>
            <w:rPr>
              <w:noProof/>
            </w:rPr>
            <w:t>Statement Of Changes In Equity</w:t>
          </w:r>
          <w:r>
            <w:rPr>
              <w:noProof/>
            </w:rPr>
            <w:tab/>
          </w:r>
          <w:r>
            <w:rPr>
              <w:noProof/>
            </w:rPr>
            <w:fldChar w:fldCharType="begin"/>
          </w:r>
          <w:r>
            <w:rPr>
              <w:noProof/>
            </w:rPr>
            <w:instrText xml:space="preserve"> PAGEREF _Toc340406357 \h </w:instrText>
          </w:r>
          <w:r>
            <w:rPr>
              <w:noProof/>
            </w:rPr>
          </w:r>
          <w:r>
            <w:rPr>
              <w:noProof/>
            </w:rPr>
            <w:fldChar w:fldCharType="separate"/>
          </w:r>
          <w:r>
            <w:rPr>
              <w:noProof/>
            </w:rPr>
            <w:t>18</w:t>
          </w:r>
          <w:r>
            <w:rPr>
              <w:noProof/>
            </w:rPr>
            <w:fldChar w:fldCharType="end"/>
          </w:r>
        </w:p>
        <w:p w14:paraId="54FBAE62" w14:textId="5E8F9D3E" w:rsidR="009520DE" w:rsidRDefault="009520DE">
          <w:pPr>
            <w:pStyle w:val="TOC1"/>
            <w:rPr>
              <w:rFonts w:eastAsiaTheme="minorEastAsia"/>
              <w:noProof/>
              <w:sz w:val="24"/>
              <w:szCs w:val="24"/>
              <w:lang w:eastAsia="ja-JP"/>
            </w:rPr>
          </w:pPr>
          <w:r>
            <w:rPr>
              <w:noProof/>
            </w:rPr>
            <w:t>Cash Flow Statement</w:t>
          </w:r>
          <w:r>
            <w:rPr>
              <w:noProof/>
            </w:rPr>
            <w:tab/>
          </w:r>
          <w:r>
            <w:rPr>
              <w:noProof/>
            </w:rPr>
            <w:fldChar w:fldCharType="begin"/>
          </w:r>
          <w:r>
            <w:rPr>
              <w:noProof/>
            </w:rPr>
            <w:instrText xml:space="preserve"> PAGEREF _Toc340406358 \h </w:instrText>
          </w:r>
          <w:r>
            <w:rPr>
              <w:noProof/>
            </w:rPr>
          </w:r>
          <w:r>
            <w:rPr>
              <w:noProof/>
            </w:rPr>
            <w:fldChar w:fldCharType="separate"/>
          </w:r>
          <w:r>
            <w:rPr>
              <w:noProof/>
            </w:rPr>
            <w:t>19</w:t>
          </w:r>
          <w:r>
            <w:rPr>
              <w:noProof/>
            </w:rPr>
            <w:fldChar w:fldCharType="end"/>
          </w:r>
        </w:p>
        <w:p w14:paraId="565DCB6E" w14:textId="096CFCBE" w:rsidR="009520DE" w:rsidRDefault="009520DE">
          <w:pPr>
            <w:pStyle w:val="TOC1"/>
            <w:rPr>
              <w:rFonts w:eastAsiaTheme="minorEastAsia"/>
              <w:noProof/>
              <w:sz w:val="24"/>
              <w:szCs w:val="24"/>
              <w:lang w:eastAsia="ja-JP"/>
            </w:rPr>
          </w:pPr>
          <w:r>
            <w:rPr>
              <w:noProof/>
            </w:rPr>
            <w:t>Notes To The Financial Statements</w:t>
          </w:r>
          <w:r>
            <w:rPr>
              <w:noProof/>
            </w:rPr>
            <w:tab/>
          </w:r>
          <w:r>
            <w:rPr>
              <w:noProof/>
            </w:rPr>
            <w:fldChar w:fldCharType="begin"/>
          </w:r>
          <w:r>
            <w:rPr>
              <w:noProof/>
            </w:rPr>
            <w:instrText xml:space="preserve"> PAGEREF _Toc340406359 \h </w:instrText>
          </w:r>
          <w:r>
            <w:rPr>
              <w:noProof/>
            </w:rPr>
          </w:r>
          <w:r>
            <w:rPr>
              <w:noProof/>
            </w:rPr>
            <w:fldChar w:fldCharType="separate"/>
          </w:r>
          <w:r>
            <w:rPr>
              <w:noProof/>
            </w:rPr>
            <w:t>20</w:t>
          </w:r>
          <w:r>
            <w:rPr>
              <w:noProof/>
            </w:rPr>
            <w:fldChar w:fldCharType="end"/>
          </w:r>
        </w:p>
        <w:p w14:paraId="67520F07" w14:textId="1FD643A7" w:rsidR="009520DE" w:rsidRDefault="009520DE">
          <w:pPr>
            <w:pStyle w:val="TOC1"/>
            <w:rPr>
              <w:rFonts w:eastAsiaTheme="minorEastAsia"/>
              <w:noProof/>
              <w:sz w:val="24"/>
              <w:szCs w:val="24"/>
              <w:lang w:eastAsia="ja-JP"/>
            </w:rPr>
          </w:pPr>
          <w:r>
            <w:rPr>
              <w:noProof/>
            </w:rPr>
            <w:t>Directors’ Declaration</w:t>
          </w:r>
          <w:r>
            <w:rPr>
              <w:noProof/>
            </w:rPr>
            <w:tab/>
          </w:r>
          <w:r>
            <w:rPr>
              <w:noProof/>
            </w:rPr>
            <w:fldChar w:fldCharType="begin"/>
          </w:r>
          <w:r>
            <w:rPr>
              <w:noProof/>
            </w:rPr>
            <w:instrText xml:space="preserve"> PAGEREF _Toc340406360 \h </w:instrText>
          </w:r>
          <w:r>
            <w:rPr>
              <w:noProof/>
            </w:rPr>
          </w:r>
          <w:r>
            <w:rPr>
              <w:noProof/>
            </w:rPr>
            <w:fldChar w:fldCharType="separate"/>
          </w:r>
          <w:r>
            <w:rPr>
              <w:noProof/>
            </w:rPr>
            <w:t>37</w:t>
          </w:r>
          <w:r>
            <w:rPr>
              <w:noProof/>
            </w:rPr>
            <w:fldChar w:fldCharType="end"/>
          </w:r>
        </w:p>
        <w:p w14:paraId="5217781A" w14:textId="185C505E" w:rsidR="009520DE" w:rsidRDefault="009520DE">
          <w:pPr>
            <w:pStyle w:val="TOC1"/>
            <w:rPr>
              <w:rFonts w:eastAsiaTheme="minorEastAsia"/>
              <w:noProof/>
              <w:sz w:val="24"/>
              <w:szCs w:val="24"/>
              <w:lang w:eastAsia="ja-JP"/>
            </w:rPr>
          </w:pPr>
          <w:r>
            <w:rPr>
              <w:noProof/>
            </w:rPr>
            <w:t>Auditor’s Independence Declaration</w:t>
          </w:r>
          <w:r>
            <w:rPr>
              <w:noProof/>
            </w:rPr>
            <w:tab/>
          </w:r>
          <w:r>
            <w:rPr>
              <w:noProof/>
            </w:rPr>
            <w:fldChar w:fldCharType="begin"/>
          </w:r>
          <w:r>
            <w:rPr>
              <w:noProof/>
            </w:rPr>
            <w:instrText xml:space="preserve"> PAGEREF _Toc340406361 \h </w:instrText>
          </w:r>
          <w:r>
            <w:rPr>
              <w:noProof/>
            </w:rPr>
          </w:r>
          <w:r>
            <w:rPr>
              <w:noProof/>
            </w:rPr>
            <w:fldChar w:fldCharType="separate"/>
          </w:r>
          <w:r>
            <w:rPr>
              <w:noProof/>
            </w:rPr>
            <w:t>38</w:t>
          </w:r>
          <w:r>
            <w:rPr>
              <w:noProof/>
            </w:rPr>
            <w:fldChar w:fldCharType="end"/>
          </w:r>
        </w:p>
        <w:p w14:paraId="6967613F" w14:textId="04265B5C" w:rsidR="009520DE" w:rsidRDefault="009520DE">
          <w:pPr>
            <w:pStyle w:val="TOC1"/>
            <w:rPr>
              <w:rFonts w:eastAsiaTheme="minorEastAsia"/>
              <w:noProof/>
              <w:sz w:val="24"/>
              <w:szCs w:val="24"/>
              <w:lang w:eastAsia="ja-JP"/>
            </w:rPr>
          </w:pPr>
          <w:r>
            <w:rPr>
              <w:noProof/>
            </w:rPr>
            <w:t>Independent Auditor’s Report To The Members Of Media Access Australia</w:t>
          </w:r>
          <w:r>
            <w:rPr>
              <w:noProof/>
            </w:rPr>
            <w:tab/>
          </w:r>
          <w:r>
            <w:rPr>
              <w:noProof/>
            </w:rPr>
            <w:fldChar w:fldCharType="begin"/>
          </w:r>
          <w:r>
            <w:rPr>
              <w:noProof/>
            </w:rPr>
            <w:instrText xml:space="preserve"> PAGEREF _Toc340406362 \h </w:instrText>
          </w:r>
          <w:r>
            <w:rPr>
              <w:noProof/>
            </w:rPr>
          </w:r>
          <w:r>
            <w:rPr>
              <w:noProof/>
            </w:rPr>
            <w:fldChar w:fldCharType="separate"/>
          </w:r>
          <w:r>
            <w:rPr>
              <w:noProof/>
            </w:rPr>
            <w:t>39</w:t>
          </w:r>
          <w:r>
            <w:rPr>
              <w:noProof/>
            </w:rPr>
            <w:fldChar w:fldCharType="end"/>
          </w:r>
        </w:p>
        <w:p w14:paraId="2B5E0F7F" w14:textId="77777777" w:rsidR="009B6735" w:rsidRDefault="009B6735" w:rsidP="00E71696">
          <w:r>
            <w:rPr>
              <w:highlight w:val="yellow"/>
            </w:rPr>
            <w:fldChar w:fldCharType="end"/>
          </w:r>
        </w:p>
      </w:sdtContent>
    </w:sdt>
    <w:p w14:paraId="52853A4D" w14:textId="77777777" w:rsidR="009B6735" w:rsidRDefault="009B6735" w:rsidP="00E71696">
      <w:pPr>
        <w:sectPr w:rsidR="009B6735" w:rsidSect="007C6542">
          <w:pgSz w:w="11904" w:h="16836"/>
          <w:pgMar w:top="1134" w:right="1134" w:bottom="1134" w:left="1134" w:header="720" w:footer="720" w:gutter="0"/>
          <w:cols w:space="720"/>
          <w:vAlign w:val="center"/>
          <w:noEndnote/>
          <w:docGrid w:linePitch="299"/>
        </w:sectPr>
      </w:pPr>
    </w:p>
    <w:p w14:paraId="5C1A7A88" w14:textId="57C0EB84" w:rsidR="00930EAE" w:rsidRPr="005132DB" w:rsidRDefault="00723E0D" w:rsidP="005132DB">
      <w:pPr>
        <w:pStyle w:val="Heading1"/>
      </w:pPr>
      <w:bookmarkStart w:id="0" w:name="_Toc340406352"/>
      <w:r w:rsidRPr="005132DB">
        <w:lastRenderedPageBreak/>
        <w:t>CHAIRMAN’S REPORT</w:t>
      </w:r>
      <w:bookmarkEnd w:id="0"/>
    </w:p>
    <w:p w14:paraId="4919AC4C" w14:textId="5E7B7A15" w:rsidR="00930EAE" w:rsidRPr="005132DB" w:rsidRDefault="00930EAE" w:rsidP="005132DB">
      <w:pPr>
        <w:pStyle w:val="Quote"/>
      </w:pPr>
      <w:r w:rsidRPr="005132DB">
        <w:t xml:space="preserve">“It is my pleasure to present Media Access Australia’s Annual Report for 2016. We’ve continued </w:t>
      </w:r>
      <w:r w:rsidR="001E2D90" w:rsidRPr="005132DB">
        <w:t xml:space="preserve">to </w:t>
      </w:r>
      <w:r w:rsidRPr="005132DB">
        <w:t>improve and increase media and digital accessibil</w:t>
      </w:r>
      <w:r w:rsidR="00FF07AE">
        <w:t>ity for people with disability</w:t>
      </w:r>
      <w:r w:rsidRPr="005132DB">
        <w:t xml:space="preserve"> w</w:t>
      </w:r>
      <w:r w:rsidR="001E2D90" w:rsidRPr="005132DB">
        <w:t>ith a focus on affordability.”</w:t>
      </w:r>
    </w:p>
    <w:p w14:paraId="30511D4C" w14:textId="77777777" w:rsidR="00FF07AE" w:rsidRPr="00FF07AE" w:rsidRDefault="00FF07AE" w:rsidP="00FF07AE">
      <w:pPr>
        <w:rPr>
          <w:lang w:val="en-US"/>
        </w:rPr>
      </w:pPr>
      <w:r w:rsidRPr="00FF07AE">
        <w:rPr>
          <w:lang w:val="en-US"/>
        </w:rPr>
        <w:t xml:space="preserve">Media Access Australia’s work continues to impact the lives of people with disability; including older Australians, people where English is a second language and those with low literacy, through our information websites, digital accessibility services, training, and the provision of practical how-to resources. </w:t>
      </w:r>
    </w:p>
    <w:p w14:paraId="3AEA2DC2" w14:textId="77777777" w:rsidR="00930EAE" w:rsidRPr="00723E0D" w:rsidRDefault="00930EAE" w:rsidP="00E71696">
      <w:r w:rsidRPr="00723E0D">
        <w:t xml:space="preserve">A key focus this year has been on increasing </w:t>
      </w:r>
      <w:r w:rsidR="00400E67" w:rsidRPr="00723E0D">
        <w:t xml:space="preserve">the </w:t>
      </w:r>
      <w:r w:rsidRPr="00723E0D">
        <w:t>awareness o</w:t>
      </w:r>
      <w:r w:rsidR="001E2D90" w:rsidRPr="00723E0D">
        <w:t>f</w:t>
      </w:r>
      <w:r w:rsidRPr="00723E0D">
        <w:t xml:space="preserve"> cognitive disability and how the needs of people with intellectual disability, autism, dementia, acquired brain injury, dyslexia and other cognitive impairments can be met online. The </w:t>
      </w:r>
      <w:hyperlink r:id="rId10" w:history="1">
        <w:r w:rsidRPr="00723E0D">
          <w:rPr>
            <w:rStyle w:val="Hyperlink"/>
            <w:color w:val="1460AA"/>
            <w:u w:val="none"/>
          </w:rPr>
          <w:t>Cognitive Disability Digital Accessibility Guide: A practical resource for organisational support</w:t>
        </w:r>
      </w:hyperlink>
      <w:r w:rsidRPr="00723E0D">
        <w:t xml:space="preserve"> </w:t>
      </w:r>
      <w:r w:rsidR="00400E67" w:rsidRPr="00723E0D">
        <w:t>was created to provide</w:t>
      </w:r>
      <w:r w:rsidRPr="00723E0D">
        <w:t xml:space="preserve"> step-by-step information to enable best practice web and digital communication. </w:t>
      </w:r>
    </w:p>
    <w:p w14:paraId="44EA3DD3" w14:textId="6CF69EA9" w:rsidR="00930EAE" w:rsidRPr="00723E0D" w:rsidRDefault="00930EAE" w:rsidP="00E71696">
      <w:r w:rsidRPr="00723E0D">
        <w:t>Throughout the year we remained vigilant and responsive to a review of live captioning standards and a later larger review of captioning obligations in the Broadcasting Services Act through the Australian Communication</w:t>
      </w:r>
      <w:r w:rsidR="00CE2A73" w:rsidRPr="00723E0D">
        <w:t>s and Media Authority</w:t>
      </w:r>
      <w:r w:rsidRPr="00723E0D">
        <w:t>.</w:t>
      </w:r>
    </w:p>
    <w:p w14:paraId="69529307" w14:textId="77777777" w:rsidR="00930EAE" w:rsidRPr="00723E0D" w:rsidRDefault="00930EAE" w:rsidP="00E71696">
      <w:r w:rsidRPr="00723E0D">
        <w:t xml:space="preserve">Whilst the resource was not released until after the </w:t>
      </w:r>
      <w:r w:rsidR="00400E67" w:rsidRPr="00723E0D">
        <w:t xml:space="preserve">financial </w:t>
      </w:r>
      <w:r w:rsidRPr="00723E0D">
        <w:t xml:space="preserve">year ended, a good portion of the year was spent on creating the </w:t>
      </w:r>
      <w:hyperlink r:id="rId11" w:history="1">
        <w:r w:rsidRPr="00723E0D">
          <w:rPr>
            <w:rStyle w:val="Hyperlink"/>
            <w:color w:val="1460AA"/>
            <w:u w:val="none"/>
          </w:rPr>
          <w:t>Affordable Access website and resources</w:t>
        </w:r>
      </w:hyperlink>
      <w:r w:rsidRPr="00723E0D">
        <w:t xml:space="preserve">. This microsite and series of </w:t>
      </w:r>
      <w:r w:rsidR="00400E67" w:rsidRPr="00723E0D">
        <w:t>informative tip sheets provide</w:t>
      </w:r>
      <w:r w:rsidRPr="00723E0D">
        <w:t xml:space="preserve"> easy-to-understand information on the accessibility of popular devices such as smartphones, tablets, desktop computers, TV media players and telecommunications plans with all options priced under $250.</w:t>
      </w:r>
    </w:p>
    <w:p w14:paraId="1FDF6968" w14:textId="77777777" w:rsidR="00930EAE" w:rsidRPr="00723E0D" w:rsidRDefault="00930EAE" w:rsidP="00E71696">
      <w:r w:rsidRPr="00723E0D">
        <w:t xml:space="preserve">These are just a few examples of where Media Access Australia has both actively led media and digital accessibility work and acted as a catalyst for change. You will find further examples </w:t>
      </w:r>
      <w:r w:rsidR="0057324B" w:rsidRPr="00723E0D">
        <w:t xml:space="preserve">of </w:t>
      </w:r>
      <w:r w:rsidRPr="00723E0D">
        <w:t>where our work is creating real social impact</w:t>
      </w:r>
      <w:r w:rsidR="0057324B" w:rsidRPr="00723E0D">
        <w:t>, later</w:t>
      </w:r>
      <w:r w:rsidRPr="00723E0D">
        <w:t xml:space="preserve"> in this </w:t>
      </w:r>
      <w:r w:rsidR="0057324B" w:rsidRPr="00723E0D">
        <w:t xml:space="preserve">annual </w:t>
      </w:r>
      <w:r w:rsidRPr="00723E0D">
        <w:t>report.</w:t>
      </w:r>
    </w:p>
    <w:p w14:paraId="2106CBFB" w14:textId="77777777" w:rsidR="00E71696" w:rsidRDefault="00E71696" w:rsidP="00E71696">
      <w:r>
        <w:br w:type="page"/>
      </w:r>
    </w:p>
    <w:p w14:paraId="58DB89E8" w14:textId="71D18C52" w:rsidR="00930EAE" w:rsidRPr="00723E0D" w:rsidRDefault="00930EAE" w:rsidP="00E71696">
      <w:r w:rsidRPr="00723E0D">
        <w:lastRenderedPageBreak/>
        <w:t xml:space="preserve">The Board and management continued to focus on building financial sustainability for Media Access Australia this year. The significant increase in digital accessibility work from the previous year indicates both a forward growth trajectory and </w:t>
      </w:r>
      <w:r w:rsidR="00A43010" w:rsidRPr="00723E0D">
        <w:t xml:space="preserve">an </w:t>
      </w:r>
      <w:r w:rsidRPr="00723E0D">
        <w:t xml:space="preserve">increase in market size. Our dedicated </w:t>
      </w:r>
      <w:r w:rsidR="00FF07AE">
        <w:t>relationship</w:t>
      </w:r>
      <w:r w:rsidRPr="00723E0D">
        <w:t xml:space="preserve"> team, </w:t>
      </w:r>
      <w:hyperlink r:id="rId12" w:history="1">
        <w:r w:rsidRPr="00723E0D">
          <w:rPr>
            <w:rStyle w:val="Hyperlink"/>
            <w:color w:val="1460AA"/>
            <w:u w:val="none"/>
          </w:rPr>
          <w:t xml:space="preserve">Access </w:t>
        </w:r>
        <w:proofErr w:type="spellStart"/>
        <w:proofErr w:type="gramStart"/>
        <w:r w:rsidRPr="00723E0D">
          <w:rPr>
            <w:rStyle w:val="Hyperlink"/>
            <w:color w:val="1460AA"/>
            <w:u w:val="none"/>
          </w:rPr>
          <w:t>iQ</w:t>
        </w:r>
        <w:proofErr w:type="spellEnd"/>
        <w:proofErr w:type="gramEnd"/>
        <w:r w:rsidRPr="00723E0D">
          <w:rPr>
            <w:rStyle w:val="Hyperlink"/>
            <w:color w:val="1460AA"/>
            <w:u w:val="none"/>
          </w:rPr>
          <w:t xml:space="preserve"> website</w:t>
        </w:r>
      </w:hyperlink>
      <w:r w:rsidR="00A43010" w:rsidRPr="00723E0D">
        <w:rPr>
          <w:rStyle w:val="Hyperlink"/>
          <w:u w:val="none"/>
        </w:rPr>
        <w:t>,</w:t>
      </w:r>
      <w:r w:rsidRPr="00723E0D">
        <w:t xml:space="preserve"> and work educating web and digital professionals</w:t>
      </w:r>
      <w:r w:rsidR="00A43010" w:rsidRPr="00723E0D">
        <w:t>,</w:t>
      </w:r>
      <w:r w:rsidRPr="00723E0D">
        <w:t xml:space="preserve"> have helped </w:t>
      </w:r>
      <w:r w:rsidR="00A43010" w:rsidRPr="00723E0D">
        <w:t>to achieve this</w:t>
      </w:r>
      <w:r w:rsidRPr="00723E0D">
        <w:t xml:space="preserve">. </w:t>
      </w:r>
    </w:p>
    <w:p w14:paraId="23BF06C5" w14:textId="77777777" w:rsidR="00FF07AE" w:rsidRPr="00FF07AE" w:rsidRDefault="00FF07AE" w:rsidP="00FF07AE">
      <w:pPr>
        <w:rPr>
          <w:lang w:val="en-US"/>
        </w:rPr>
      </w:pPr>
      <w:r w:rsidRPr="00FF07AE">
        <w:rPr>
          <w:lang w:val="en-US"/>
        </w:rPr>
        <w:t xml:space="preserve">A number of changes in </w:t>
      </w:r>
      <w:proofErr w:type="spellStart"/>
      <w:r w:rsidRPr="00FF07AE">
        <w:rPr>
          <w:lang w:val="en-US"/>
        </w:rPr>
        <w:t>sta</w:t>
      </w:r>
      <w:proofErr w:type="spellEnd"/>
      <w:r w:rsidRPr="00FF07AE">
        <w:rPr>
          <w:lang w:val="en-US"/>
        </w:rPr>
        <w:t xml:space="preserve"> and leadership during the past year have necessitated a change in the way we deliver advocacy and information to consumers and the organisations representing them. Chief Executive </w:t>
      </w:r>
      <w:proofErr w:type="spellStart"/>
      <w:r w:rsidRPr="00FF07AE">
        <w:rPr>
          <w:lang w:val="en-US"/>
        </w:rPr>
        <w:t>O</w:t>
      </w:r>
      <w:proofErr w:type="spellEnd"/>
      <w:r w:rsidRPr="00FF07AE">
        <w:rPr>
          <w:lang w:val="en-US"/>
        </w:rPr>
        <w:t xml:space="preserve"> </w:t>
      </w:r>
      <w:proofErr w:type="spellStart"/>
      <w:r w:rsidRPr="00FF07AE">
        <w:rPr>
          <w:lang w:val="en-US"/>
        </w:rPr>
        <w:t>cer</w:t>
      </w:r>
      <w:proofErr w:type="spellEnd"/>
      <w:r w:rsidRPr="00FF07AE">
        <w:rPr>
          <w:lang w:val="en-US"/>
        </w:rPr>
        <w:t xml:space="preserve"> Alex Varley, and TV Access Manager Chris Mikul, both left the </w:t>
      </w:r>
      <w:proofErr w:type="spellStart"/>
      <w:r w:rsidRPr="00FF07AE">
        <w:rPr>
          <w:lang w:val="en-US"/>
        </w:rPr>
        <w:t>organisation</w:t>
      </w:r>
      <w:proofErr w:type="spellEnd"/>
      <w:r w:rsidRPr="00FF07AE">
        <w:rPr>
          <w:lang w:val="en-US"/>
        </w:rPr>
        <w:t xml:space="preserve">, after 10 years with Media Access Australia, and its predecessor the Australian Caption Centre, before that. </w:t>
      </w:r>
    </w:p>
    <w:p w14:paraId="79465BED" w14:textId="363BAB1A" w:rsidR="00930EAE" w:rsidRPr="00723E0D" w:rsidRDefault="00930EAE" w:rsidP="00E71696">
      <w:r w:rsidRPr="00E71696">
        <w:t>Under Alex’s stewardship</w:t>
      </w:r>
      <w:r w:rsidR="00A43010" w:rsidRPr="00E71696">
        <w:t>,</w:t>
      </w:r>
      <w:r w:rsidRPr="00E71696">
        <w:t xml:space="preserve"> Media Access Australia began in</w:t>
      </w:r>
      <w:r w:rsidRPr="00723E0D">
        <w:t xml:space="preserve"> 2005 and has grown to achieve many significant milestones and achievements in television, cinema, DVD, and catch-up television access</w:t>
      </w:r>
      <w:r w:rsidR="00A43010" w:rsidRPr="00723E0D">
        <w:t>,</w:t>
      </w:r>
      <w:r w:rsidRPr="00723E0D">
        <w:t xml:space="preserve"> particularly with captioning legislation and quality</w:t>
      </w:r>
      <w:r w:rsidR="00A43010" w:rsidRPr="00723E0D">
        <w:t xml:space="preserve">, </w:t>
      </w:r>
      <w:r w:rsidRPr="00723E0D">
        <w:t xml:space="preserve">and more recently with the audio description trial on the ABC and this year on ABC iView. I would like to particularly acknowledge and thank them for their unending commitment and work towards improving access. </w:t>
      </w:r>
    </w:p>
    <w:p w14:paraId="1B417A5A" w14:textId="77777777" w:rsidR="00930EAE" w:rsidRPr="00723E0D" w:rsidRDefault="00930EAE" w:rsidP="00E71696">
      <w:r w:rsidRPr="00723E0D">
        <w:t xml:space="preserve">I would like to also thank my fellow directors who have provided considerable input and expertise into refocusing our strategy and managing the transition in leadership. To this end I would also like to thank Natalie Collins who supported this transition and acted in the Chief Executive role for four months. </w:t>
      </w:r>
    </w:p>
    <w:p w14:paraId="39FF8DDC" w14:textId="77777777" w:rsidR="00930EAE" w:rsidRPr="00723E0D" w:rsidRDefault="00930EAE" w:rsidP="00E71696">
      <w:r w:rsidRPr="00723E0D">
        <w:t>I look forward to the coming year and transition to a new CEO, with Manisha Amin beginning in September.</w:t>
      </w:r>
    </w:p>
    <w:p w14:paraId="1BF20F7C" w14:textId="77777777" w:rsidR="00930EAE" w:rsidRPr="00723E0D" w:rsidRDefault="00930EAE" w:rsidP="00E71696">
      <w:r w:rsidRPr="00723E0D">
        <w:t xml:space="preserve">Finally, my gratitude and thanks to the entire Media Access Australia team, including </w:t>
      </w:r>
      <w:r w:rsidR="00781FE5" w:rsidRPr="00723E0D">
        <w:t xml:space="preserve">staff, </w:t>
      </w:r>
      <w:r w:rsidRPr="00723E0D">
        <w:t>partners and clients</w:t>
      </w:r>
      <w:r w:rsidR="00781FE5" w:rsidRPr="00723E0D">
        <w:t>. W</w:t>
      </w:r>
      <w:r w:rsidRPr="00723E0D">
        <w:t xml:space="preserve">ithout your passion and commitment we cannot continue to perform our role </w:t>
      </w:r>
      <w:r w:rsidR="00781FE5" w:rsidRPr="00723E0D">
        <w:t xml:space="preserve">of </w:t>
      </w:r>
      <w:r w:rsidRPr="00723E0D">
        <w:t xml:space="preserve">increasing digital inclusion and media accessibility. </w:t>
      </w:r>
    </w:p>
    <w:p w14:paraId="3048C45E" w14:textId="77777777" w:rsidR="00930EAE" w:rsidRDefault="00930EAE" w:rsidP="00E71696">
      <w:pPr>
        <w:rPr>
          <w:noProof/>
          <w:highlight w:val="yellow"/>
          <w:lang w:eastAsia="en-AU"/>
        </w:rPr>
      </w:pPr>
      <w:r>
        <w:rPr>
          <w:noProof/>
          <w:lang w:eastAsia="en-AU"/>
        </w:rPr>
        <w:drawing>
          <wp:inline distT="0" distB="0" distL="0" distR="0" wp14:anchorId="5D640DE0" wp14:editId="2198116C">
            <wp:extent cx="1736803" cy="520700"/>
            <wp:effectExtent l="0" t="0" r="0" b="0"/>
            <wp:docPr id="4" name="Picture 4" descr="Ian M. Roach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n M. Roache signa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6803" cy="520700"/>
                    </a:xfrm>
                    <a:prstGeom prst="rect">
                      <a:avLst/>
                    </a:prstGeom>
                    <a:noFill/>
                    <a:ln>
                      <a:noFill/>
                    </a:ln>
                  </pic:spPr>
                </pic:pic>
              </a:graphicData>
            </a:graphic>
          </wp:inline>
        </w:drawing>
      </w:r>
    </w:p>
    <w:p w14:paraId="72A20617" w14:textId="77777777" w:rsidR="00930EAE" w:rsidRPr="00691D4B" w:rsidRDefault="00930EAE" w:rsidP="00E71696">
      <w:pPr>
        <w:rPr>
          <w:b/>
        </w:rPr>
      </w:pPr>
      <w:r w:rsidRPr="00691D4B">
        <w:rPr>
          <w:b/>
        </w:rPr>
        <w:t xml:space="preserve">Ian Roache </w:t>
      </w:r>
    </w:p>
    <w:p w14:paraId="4CD0862F" w14:textId="77777777" w:rsidR="00930EAE" w:rsidRPr="00723E0D" w:rsidRDefault="00930EAE" w:rsidP="00E71696">
      <w:r w:rsidRPr="00723E0D">
        <w:t>Chairman</w:t>
      </w:r>
    </w:p>
    <w:p w14:paraId="76B88D37" w14:textId="77777777" w:rsidR="00930EAE" w:rsidRDefault="00930EAE" w:rsidP="00E71696">
      <w:pPr>
        <w:rPr>
          <w:color w:val="000000" w:themeColor="text2"/>
          <w:sz w:val="48"/>
          <w:szCs w:val="40"/>
        </w:rPr>
      </w:pPr>
      <w:r>
        <w:br w:type="page"/>
      </w:r>
    </w:p>
    <w:p w14:paraId="210E7683" w14:textId="4D04AF31" w:rsidR="00930EAE" w:rsidRPr="00E66BCA" w:rsidRDefault="00E71696" w:rsidP="005132DB">
      <w:pPr>
        <w:pStyle w:val="Heading1"/>
        <w:rPr>
          <w:szCs w:val="48"/>
        </w:rPr>
      </w:pPr>
      <w:bookmarkStart w:id="1" w:name="_Toc340406353"/>
      <w:r>
        <w:lastRenderedPageBreak/>
        <w:t>ACTING C</w:t>
      </w:r>
      <w:r w:rsidRPr="00E66BCA">
        <w:t>EO’S REPORT</w:t>
      </w:r>
      <w:bookmarkEnd w:id="1"/>
    </w:p>
    <w:p w14:paraId="54E80D41" w14:textId="77777777" w:rsidR="00FF07AE" w:rsidRDefault="00930EAE" w:rsidP="005132DB">
      <w:pPr>
        <w:pStyle w:val="Quote"/>
      </w:pPr>
      <w:r>
        <w:t xml:space="preserve">“As an organisation working to increase digital inclusion and accessibility, Media Access Australia leads by example. </w:t>
      </w:r>
    </w:p>
    <w:p w14:paraId="0DA2B8F8" w14:textId="77777777" w:rsidR="00FF07AE" w:rsidRDefault="00930EAE" w:rsidP="005132DB">
      <w:pPr>
        <w:pStyle w:val="Quote"/>
      </w:pPr>
      <w:r>
        <w:t xml:space="preserve">As a cohesive team, we are constantly asking the question “Is it accessible?” </w:t>
      </w:r>
    </w:p>
    <w:p w14:paraId="6ECADA80" w14:textId="71AAAC58" w:rsidR="00930EAE" w:rsidRPr="00E66BCA" w:rsidRDefault="00FF07AE" w:rsidP="005132DB">
      <w:pPr>
        <w:pStyle w:val="Quote"/>
        <w:rPr>
          <w:sz w:val="24"/>
          <w:szCs w:val="24"/>
        </w:rPr>
      </w:pPr>
      <w:r>
        <w:t>E</w:t>
      </w:r>
      <w:r w:rsidR="00930EAE">
        <w:t>ven the invoices we send out are in an accessible format. This makes us a leader in digital accessibility and transformation. If we can’t make it accessible</w:t>
      </w:r>
      <w:r w:rsidR="00781FE5">
        <w:t>,</w:t>
      </w:r>
      <w:r w:rsidR="00930EAE">
        <w:t xml:space="preserve"> it’s not worth doing” </w:t>
      </w:r>
    </w:p>
    <w:p w14:paraId="3181690A" w14:textId="77777777" w:rsidR="00FF07AE" w:rsidRDefault="00FF07AE" w:rsidP="005132DB">
      <w:pPr>
        <w:pStyle w:val="Heading2"/>
        <w:rPr>
          <w:rFonts w:asciiTheme="minorHAnsi" w:hAnsiTheme="minorHAnsi" w:cstheme="minorBidi"/>
          <w:b w:val="0"/>
          <w:color w:val="auto"/>
          <w:sz w:val="22"/>
          <w:szCs w:val="22"/>
        </w:rPr>
      </w:pPr>
      <w:r w:rsidRPr="00FF07AE">
        <w:rPr>
          <w:rFonts w:asciiTheme="minorHAnsi" w:hAnsiTheme="minorHAnsi" w:cstheme="minorBidi"/>
          <w:b w:val="0"/>
          <w:color w:val="auto"/>
          <w:sz w:val="22"/>
          <w:szCs w:val="22"/>
        </w:rPr>
        <w:t>Media Access Australia remains the ‘go-to’ organisation on digital and media access in Australia. We continue to advocate, increase awareness and provide practical information and support for accessibility of media and content on all kinds of digital platforms and devices. A number of key themes and activities have guided our work this year.</w:t>
      </w:r>
    </w:p>
    <w:p w14:paraId="1448E061" w14:textId="4CA77781" w:rsidR="005132DB" w:rsidRPr="005132DB" w:rsidRDefault="005132DB" w:rsidP="005132DB">
      <w:pPr>
        <w:pStyle w:val="Heading2"/>
      </w:pPr>
      <w:r w:rsidRPr="005132DB">
        <w:t>Audio description on television</w:t>
      </w:r>
    </w:p>
    <w:p w14:paraId="31D8EA05" w14:textId="77777777" w:rsidR="00930EAE" w:rsidRDefault="00930EAE" w:rsidP="00E71696">
      <w:r>
        <w:t xml:space="preserve">The audio description trial on ABC iView was one of the main media access advocacy activities for </w:t>
      </w:r>
      <w:r w:rsidR="00781FE5">
        <w:t xml:space="preserve">the </w:t>
      </w:r>
      <w:r>
        <w:t>year. Media Access Australia ha</w:t>
      </w:r>
      <w:r w:rsidR="001C5B33">
        <w:t>s</w:t>
      </w:r>
      <w:r>
        <w:t xml:space="preserve"> been involved in supporting several activities to keep audio description on the agenda including attending and presenting findings from the ABC 2012 trial and audio description overseas</w:t>
      </w:r>
      <w:r w:rsidR="001C5B33">
        <w:t>,</w:t>
      </w:r>
      <w:r>
        <w:t xml:space="preserve"> at an event </w:t>
      </w:r>
      <w:r w:rsidR="001C5B33">
        <w:t xml:space="preserve">held </w:t>
      </w:r>
      <w:r w:rsidR="003329B9">
        <w:t>at Parliament House.</w:t>
      </w:r>
    </w:p>
    <w:p w14:paraId="5727EA86" w14:textId="77777777" w:rsidR="00BD0527" w:rsidRDefault="00BD0527">
      <w:pPr>
        <w:spacing w:after="200"/>
        <w:ind w:right="0"/>
        <w:rPr>
          <w:rFonts w:ascii="Hanken Book" w:hAnsi="Hanken Book"/>
          <w:b/>
          <w:color w:val="1460AA"/>
          <w:sz w:val="36"/>
          <w:szCs w:val="33"/>
        </w:rPr>
      </w:pPr>
      <w:r>
        <w:br w:type="page"/>
      </w:r>
    </w:p>
    <w:p w14:paraId="11A6BA7B" w14:textId="701455AE" w:rsidR="00930EAE" w:rsidRPr="00C6396C" w:rsidRDefault="00930EAE" w:rsidP="005132DB">
      <w:pPr>
        <w:pStyle w:val="Heading2"/>
      </w:pPr>
      <w:proofErr w:type="gramStart"/>
      <w:r w:rsidRPr="00C6396C">
        <w:lastRenderedPageBreak/>
        <w:t>cap</w:t>
      </w:r>
      <w:proofErr w:type="gramEnd"/>
      <w:r w:rsidRPr="00C6396C">
        <w:t xml:space="preserve"> that! </w:t>
      </w:r>
      <w:proofErr w:type="gramStart"/>
      <w:r w:rsidRPr="00C6396C">
        <w:t>captions</w:t>
      </w:r>
      <w:proofErr w:type="gramEnd"/>
      <w:r w:rsidRPr="00C6396C">
        <w:t xml:space="preserve"> in the classroom</w:t>
      </w:r>
    </w:p>
    <w:p w14:paraId="51D2CE38" w14:textId="77777777" w:rsidR="00930EAE" w:rsidRDefault="00930EAE" w:rsidP="00E71696">
      <w:r>
        <w:t>In its fifth year, the cap that! campaign educates teachers about how and why captions can be used as a tool in the classroom to help hearing impaired students better understand audiovisual curriculum as well as assist</w:t>
      </w:r>
      <w:r w:rsidR="001C5B33">
        <w:t xml:space="preserve">ing struggling readers and </w:t>
      </w:r>
      <w:r>
        <w:t>students where English is a second language.</w:t>
      </w:r>
    </w:p>
    <w:p w14:paraId="1F3E2438" w14:textId="77777777" w:rsidR="00930EAE" w:rsidRDefault="00930EAE" w:rsidP="00E71696">
      <w:r>
        <w:t xml:space="preserve">Once again, the campaign was aligned with National Literacy and Numeracy Week and promoted throughout Australian schools with sponsorship from </w:t>
      </w:r>
      <w:proofErr w:type="spellStart"/>
      <w:r>
        <w:t>Conexu</w:t>
      </w:r>
      <w:proofErr w:type="spellEnd"/>
      <w:r>
        <w:t xml:space="preserve"> Foundation and help from </w:t>
      </w:r>
      <w:r w:rsidRPr="00AE5D9F">
        <w:t>TES Australia.</w:t>
      </w:r>
      <w:r>
        <w:t xml:space="preserve"> This year, Foxtel channel Discovery Kids created a fantastic video promoting that 100% of content on the channel is captioned, an important achievement!</w:t>
      </w:r>
    </w:p>
    <w:p w14:paraId="51AD5601" w14:textId="3A278435" w:rsidR="00C6396C" w:rsidRDefault="00487E39" w:rsidP="00C6396C">
      <w:pPr>
        <w:keepNext/>
      </w:pPr>
      <w:r>
        <w:rPr>
          <w:noProof/>
          <w:lang w:eastAsia="en-AU"/>
        </w:rPr>
        <w:drawing>
          <wp:inline distT="0" distB="0" distL="0" distR="0" wp14:anchorId="42A06940" wp14:editId="572B7B56">
            <wp:extent cx="5730240" cy="4401489"/>
            <wp:effectExtent l="0" t="0" r="1016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0240" cy="4401489"/>
                    </a:xfrm>
                    <a:prstGeom prst="rect">
                      <a:avLst/>
                    </a:prstGeom>
                    <a:noFill/>
                    <a:ln>
                      <a:noFill/>
                    </a:ln>
                  </pic:spPr>
                </pic:pic>
              </a:graphicData>
            </a:graphic>
          </wp:inline>
        </w:drawing>
      </w:r>
    </w:p>
    <w:p w14:paraId="2E004512" w14:textId="0192F499" w:rsidR="00930EAE" w:rsidRDefault="00C6396C" w:rsidP="00C6396C">
      <w:pPr>
        <w:pStyle w:val="Caption"/>
      </w:pPr>
      <w:r>
        <w:t xml:space="preserve">Figure </w:t>
      </w:r>
      <w:r w:rsidR="001413B1">
        <w:fldChar w:fldCharType="begin"/>
      </w:r>
      <w:r w:rsidR="001413B1">
        <w:instrText xml:space="preserve"> SEQ Figure \* ARABIC </w:instrText>
      </w:r>
      <w:r w:rsidR="001413B1">
        <w:fldChar w:fldCharType="separate"/>
      </w:r>
      <w:r w:rsidR="006127BF">
        <w:rPr>
          <w:noProof/>
        </w:rPr>
        <w:t>1</w:t>
      </w:r>
      <w:r w:rsidR="001413B1">
        <w:rPr>
          <w:noProof/>
        </w:rPr>
        <w:fldChar w:fldCharType="end"/>
      </w:r>
      <w:r>
        <w:t>: Who needs captions? 1 in 3 students in Australia can benefit from captions. Including; 12,000 deaf or hearing impaired students, over 600,000 students where English is an additional language and over 800,000 students with diagnosed learning needs.</w:t>
      </w:r>
    </w:p>
    <w:p w14:paraId="5B669D60" w14:textId="39A6EB6E" w:rsidR="00930EAE" w:rsidRDefault="00930EAE" w:rsidP="00E71696">
      <w:r>
        <w:t xml:space="preserve">By far and away the most popular section of the </w:t>
      </w:r>
      <w:r w:rsidR="00CB6992">
        <w:t xml:space="preserve">cap that! </w:t>
      </w:r>
      <w:proofErr w:type="gramStart"/>
      <w:r>
        <w:t>website</w:t>
      </w:r>
      <w:proofErr w:type="gramEnd"/>
      <w:r>
        <w:t xml:space="preserve"> remains the lesson plans for teachers. Broken down into age-appropriate class levels</w:t>
      </w:r>
      <w:r w:rsidR="001C5B33">
        <w:t>,</w:t>
      </w:r>
      <w:r>
        <w:t xml:space="preserve"> the lesson plans integrate the national curriculum into activities involving captions with audiovisual materials.</w:t>
      </w:r>
    </w:p>
    <w:p w14:paraId="546FFC67" w14:textId="77777777" w:rsidR="00BD0527" w:rsidRDefault="00BD0527">
      <w:pPr>
        <w:spacing w:after="200"/>
        <w:ind w:right="0"/>
        <w:rPr>
          <w:rFonts w:ascii="Hanken Book" w:hAnsi="Hanken Book"/>
          <w:b/>
          <w:color w:val="1460AA"/>
          <w:sz w:val="36"/>
          <w:szCs w:val="33"/>
        </w:rPr>
      </w:pPr>
      <w:r>
        <w:br w:type="page"/>
      </w:r>
    </w:p>
    <w:p w14:paraId="502ADC09" w14:textId="315CE954" w:rsidR="00930EAE" w:rsidRPr="00C6396C" w:rsidRDefault="00930EAE" w:rsidP="005132DB">
      <w:pPr>
        <w:pStyle w:val="Heading2"/>
      </w:pPr>
      <w:r w:rsidRPr="00C6396C">
        <w:lastRenderedPageBreak/>
        <w:t>Technology affordability and accessibility</w:t>
      </w:r>
    </w:p>
    <w:p w14:paraId="77B8B004" w14:textId="3156727C" w:rsidR="00BD0527" w:rsidRDefault="00930EAE" w:rsidP="00BD0527">
      <w:pPr>
        <w:rPr>
          <w:rFonts w:ascii="Hanken Book" w:hAnsi="Hanken Book"/>
          <w:b/>
          <w:color w:val="1460AA"/>
          <w:sz w:val="36"/>
          <w:szCs w:val="33"/>
        </w:rPr>
      </w:pPr>
      <w:r>
        <w:t>Even though the Affordable Access Project was launched after the end of the Financial Year, a good portion of the year was dedicated to researching and prepari</w:t>
      </w:r>
      <w:r w:rsidR="00FF07AE">
        <w:t xml:space="preserve">ng the content for the website, </w:t>
      </w:r>
      <w:hyperlink r:id="rId15" w:history="1">
        <w:r w:rsidR="00FF07AE" w:rsidRPr="00FF07AE">
          <w:rPr>
            <w:rStyle w:val="Hyperlink"/>
            <w:color w:val="1460AA"/>
            <w:u w:val="none"/>
          </w:rPr>
          <w:t>www.affordableaccess.org.au</w:t>
        </w:r>
      </w:hyperlink>
      <w:r w:rsidR="00FF07AE">
        <w:t xml:space="preserve"> </w:t>
      </w:r>
      <w:r w:rsidR="00E92CFA">
        <w:t>along with the downloadable</w:t>
      </w:r>
      <w:r>
        <w:t xml:space="preserve"> fact sheet and tip sheets </w:t>
      </w:r>
      <w:r w:rsidR="00E92CFA">
        <w:t>associated with the</w:t>
      </w:r>
      <w:r>
        <w:t xml:space="preserve"> website. The project itself delivered information for people with disabilities, focusing on accessible devices and services for accessing the internet that could be used at home, at work, for study</w:t>
      </w:r>
      <w:r w:rsidR="00E92CFA">
        <w:t>,</w:t>
      </w:r>
      <w:r>
        <w:t xml:space="preserve"> or by seniors</w:t>
      </w:r>
      <w:r w:rsidR="00E92CFA">
        <w:t>,</w:t>
      </w:r>
      <w:r>
        <w:t xml:space="preserve"> and</w:t>
      </w:r>
      <w:r w:rsidR="00E92CFA">
        <w:t xml:space="preserve"> </w:t>
      </w:r>
      <w:r>
        <w:t xml:space="preserve">parents and carers of children that were also priced affordably under $250. Funding for this work was provided through the Australian Communications Consumer Action Network (ACCAN) and was supported with some research work at </w:t>
      </w:r>
      <w:proofErr w:type="spellStart"/>
      <w:r>
        <w:t>VisAbility</w:t>
      </w:r>
      <w:proofErr w:type="spellEnd"/>
      <w:r>
        <w:t xml:space="preserve"> in Perth.</w:t>
      </w:r>
    </w:p>
    <w:p w14:paraId="24246F29" w14:textId="56D65646" w:rsidR="00C6396C" w:rsidRDefault="00C6396C" w:rsidP="005132DB">
      <w:pPr>
        <w:pStyle w:val="Heading2"/>
      </w:pPr>
      <w:r w:rsidRPr="00C6396C">
        <w:t>Digital Accessibility</w:t>
      </w:r>
    </w:p>
    <w:p w14:paraId="7D0CD1E3" w14:textId="77777777" w:rsidR="00930EAE" w:rsidRDefault="00930EAE" w:rsidP="00E71696">
      <w:r>
        <w:t xml:space="preserve">Media Access Australia continues to help organisations create and make their digital experiences accessible through our Digital Accessibility Services. </w:t>
      </w:r>
    </w:p>
    <w:p w14:paraId="6FDCE3CE" w14:textId="60B192E3" w:rsidR="00930EAE" w:rsidRDefault="00930EAE" w:rsidP="00E71696">
      <w:r>
        <w:t>Our Digital Accessibi</w:t>
      </w:r>
      <w:r w:rsidR="00CE2A73">
        <w:t>lity Maturity Assessments</w:t>
      </w:r>
      <w:r>
        <w:t xml:space="preserve"> have been popular with organisations </w:t>
      </w:r>
      <w:r w:rsidR="00EA775B">
        <w:t>that</w:t>
      </w:r>
      <w:r>
        <w:t xml:space="preserve"> are strategically planning how they tackle accessibility on an increasing suite of internal and external websites, applications and digital experiences. In an increasingly digital landscape, our work is helping organisations to plan out and prioritise activities for ensuring software, services and information is accessible for their employees, suppliers and customers.</w:t>
      </w:r>
    </w:p>
    <w:p w14:paraId="081C36DF" w14:textId="18C4E509" w:rsidR="00930EAE" w:rsidRDefault="00930EAE" w:rsidP="00E71696">
      <w:r>
        <w:t>For the Nation</w:t>
      </w:r>
      <w:r w:rsidR="00CE2A73">
        <w:t>al Disability Insurance Scheme</w:t>
      </w:r>
      <w:r>
        <w:t xml:space="preserve"> New World conference in Brisbane in October we updated and printed our popular </w:t>
      </w:r>
      <w:r w:rsidRPr="007F5299">
        <w:rPr>
          <w:i/>
        </w:rPr>
        <w:t>Service Providers Accessibility Guide: A quick reference guide for accessible communications</w:t>
      </w:r>
      <w:r>
        <w:t>. The Guide provides practical tips and information for organisations to improve the accessibility of their digital communications and websites.</w:t>
      </w:r>
    </w:p>
    <w:p w14:paraId="1BD8E601" w14:textId="4D55F234" w:rsidR="00BD0527" w:rsidRDefault="00E632A8" w:rsidP="00E71696">
      <w:r w:rsidRPr="005A48DC">
        <w:t>The Media Access Australia website</w:t>
      </w:r>
      <w:r w:rsidR="005A48DC" w:rsidRPr="005A48DC">
        <w:t>,</w:t>
      </w:r>
      <w:r w:rsidR="005A48DC">
        <w:t xml:space="preserve"> </w:t>
      </w:r>
      <w:hyperlink r:id="rId16" w:history="1">
        <w:r w:rsidR="005A48DC" w:rsidRPr="005A48DC">
          <w:rPr>
            <w:rStyle w:val="Hyperlink"/>
            <w:color w:val="1460AA"/>
            <w:u w:val="none"/>
          </w:rPr>
          <w:t>www.mediaaccess.org.au</w:t>
        </w:r>
      </w:hyperlink>
      <w:r w:rsidR="005A48DC">
        <w:t xml:space="preserve"> </w:t>
      </w:r>
      <w:r>
        <w:t>continues to be</w:t>
      </w:r>
      <w:r w:rsidRPr="00E632A8">
        <w:t xml:space="preserve"> our key communication channel to </w:t>
      </w:r>
      <w:r w:rsidR="00EA775B">
        <w:t xml:space="preserve">facilitate valuable communication </w:t>
      </w:r>
      <w:r w:rsidRPr="00E632A8">
        <w:t>with</w:t>
      </w:r>
      <w:r w:rsidR="00EA775B">
        <w:t xml:space="preserve"> people</w:t>
      </w:r>
      <w:r w:rsidRPr="00E632A8">
        <w:t xml:space="preserve"> with sight, hearing, and/or cognitive disabilities. Over the </w:t>
      </w:r>
      <w:r w:rsidR="00EA775B">
        <w:t xml:space="preserve">past year the website helped provide </w:t>
      </w:r>
      <w:r w:rsidRPr="00E632A8">
        <w:t xml:space="preserve">information on web and digital accessibility news, articles and useful resources to </w:t>
      </w:r>
      <w:r w:rsidR="006A0DEA">
        <w:t>almost 100,000</w:t>
      </w:r>
      <w:r w:rsidRPr="00E632A8">
        <w:t xml:space="preserve"> users. </w:t>
      </w:r>
    </w:p>
    <w:p w14:paraId="043D5F47" w14:textId="77777777" w:rsidR="006127BF" w:rsidRDefault="00BD0527" w:rsidP="006127BF">
      <w:pPr>
        <w:pStyle w:val="Caption"/>
        <w:ind w:left="284"/>
      </w:pPr>
      <w:r>
        <w:rPr>
          <w:noProof/>
          <w:lang w:eastAsia="en-AU"/>
        </w:rPr>
        <w:lastRenderedPageBreak/>
        <w:drawing>
          <wp:inline distT="0" distB="0" distL="0" distR="0" wp14:anchorId="57CE5AE7" wp14:editId="4726E71E">
            <wp:extent cx="5409565" cy="7701915"/>
            <wp:effectExtent l="0" t="0" r="635" b="0"/>
            <wp:docPr id="7" name="Picture 7" descr="Media Access Australia website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eidilaidler:Desktop:Screen Shot 2016-11-07 at 3.31.31 P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9565" cy="7701915"/>
                    </a:xfrm>
                    <a:prstGeom prst="rect">
                      <a:avLst/>
                    </a:prstGeom>
                    <a:noFill/>
                    <a:ln>
                      <a:noFill/>
                    </a:ln>
                  </pic:spPr>
                </pic:pic>
              </a:graphicData>
            </a:graphic>
          </wp:inline>
        </w:drawing>
      </w:r>
    </w:p>
    <w:p w14:paraId="6A2E9BC5" w14:textId="417CDF97" w:rsidR="00BD0527" w:rsidRPr="00BD0527" w:rsidRDefault="00BD0527" w:rsidP="00BD0527">
      <w:pPr>
        <w:pStyle w:val="Caption"/>
      </w:pPr>
      <w:r>
        <w:t xml:space="preserve">Figure </w:t>
      </w:r>
      <w:r w:rsidR="001413B1">
        <w:fldChar w:fldCharType="begin"/>
      </w:r>
      <w:r w:rsidR="001413B1">
        <w:instrText xml:space="preserve"> SEQ Figure \* ARABIC </w:instrText>
      </w:r>
      <w:r w:rsidR="001413B1">
        <w:fldChar w:fldCharType="separate"/>
      </w:r>
      <w:r w:rsidR="006127BF">
        <w:rPr>
          <w:noProof/>
        </w:rPr>
        <w:t>2</w:t>
      </w:r>
      <w:r w:rsidR="001413B1">
        <w:rPr>
          <w:noProof/>
        </w:rPr>
        <w:fldChar w:fldCharType="end"/>
      </w:r>
      <w:r>
        <w:t xml:space="preserve">: </w:t>
      </w:r>
      <w:r w:rsidRPr="00BD0527">
        <w:t xml:space="preserve">www.mediaaccess.org.au website statistics. 98,175 site users. 48.7% female, 51.3% male. 187,100 page views. </w:t>
      </w:r>
    </w:p>
    <w:p w14:paraId="08B7086E" w14:textId="3A8B52A5" w:rsidR="00BD0527" w:rsidRPr="00F248BC" w:rsidRDefault="00BD0527" w:rsidP="00BD0527">
      <w:pPr>
        <w:pStyle w:val="Caption"/>
        <w:rPr>
          <w:noProof/>
          <w:sz w:val="22"/>
          <w:szCs w:val="22"/>
          <w:lang w:val="en-US"/>
        </w:rPr>
      </w:pPr>
    </w:p>
    <w:p w14:paraId="1674CF57" w14:textId="4535CE6F" w:rsidR="00930EAE" w:rsidRDefault="00930EAE" w:rsidP="00E71696">
      <w:r>
        <w:lastRenderedPageBreak/>
        <w:t xml:space="preserve">Our popular information </w:t>
      </w:r>
      <w:r w:rsidRPr="00E71696">
        <w:t xml:space="preserve">on Social Media for People with a Disability </w:t>
      </w:r>
      <w:r w:rsidR="004D00C1" w:rsidRPr="00E71696">
        <w:t xml:space="preserve">on the MAA site </w:t>
      </w:r>
      <w:r w:rsidRPr="00E71696">
        <w:t>also received an update</w:t>
      </w:r>
      <w:r w:rsidR="00543119" w:rsidRPr="00E71696">
        <w:t>,</w:t>
      </w:r>
      <w:r w:rsidRPr="00E71696">
        <w:t xml:space="preserve"> </w:t>
      </w:r>
      <w:r w:rsidR="00843301" w:rsidRPr="00E71696">
        <w:t>to keep pace with the chan</w:t>
      </w:r>
      <w:r w:rsidR="00CE2A73" w:rsidRPr="00E71696">
        <w:t>g</w:t>
      </w:r>
      <w:r w:rsidR="00843301" w:rsidRPr="00E71696">
        <w:t>ing</w:t>
      </w:r>
      <w:r w:rsidRPr="00E71696">
        <w:t xml:space="preserve"> social media</w:t>
      </w:r>
      <w:r>
        <w:t xml:space="preserve"> landscape. Along with accessibility updates to popular platforms, we added information on Tumblr and Instagram.</w:t>
      </w:r>
    </w:p>
    <w:p w14:paraId="1A42E991" w14:textId="263ECFB2" w:rsidR="00930EAE" w:rsidRDefault="00930EAE" w:rsidP="00E71696">
      <w:r>
        <w:t>From an Australian Government perspective</w:t>
      </w:r>
      <w:r w:rsidR="00543119">
        <w:t>,</w:t>
      </w:r>
      <w:r>
        <w:t xml:space="preserve"> the newly formed Dig</w:t>
      </w:r>
      <w:r w:rsidR="00CE2A73">
        <w:t>ital Transformation Office</w:t>
      </w:r>
      <w:r>
        <w:t xml:space="preserve"> has helped to provide a different dimension to accessibility in digital experiences and through their Digital Design Standard. It has incorporated accessibility into an inclusive design approach, helping to reframe the conversation and benefits of universal access. </w:t>
      </w:r>
    </w:p>
    <w:p w14:paraId="1BA25C18" w14:textId="27CA452A" w:rsidR="00BD0527" w:rsidRDefault="00930EAE" w:rsidP="006127BF">
      <w:pPr>
        <w:rPr>
          <w:rFonts w:ascii="Hanken Book" w:hAnsi="Hanken Book"/>
          <w:b/>
          <w:color w:val="1460AA"/>
          <w:sz w:val="36"/>
          <w:szCs w:val="33"/>
        </w:rPr>
      </w:pPr>
      <w:r>
        <w:t>Our Acce</w:t>
      </w:r>
      <w:r w:rsidR="005A48DC">
        <w:t xml:space="preserve">ss </w:t>
      </w:r>
      <w:proofErr w:type="spellStart"/>
      <w:proofErr w:type="gramStart"/>
      <w:r w:rsidR="005A48DC">
        <w:t>iQ</w:t>
      </w:r>
      <w:proofErr w:type="spellEnd"/>
      <w:proofErr w:type="gramEnd"/>
      <w:r w:rsidR="005A48DC">
        <w:t xml:space="preserve"> website, </w:t>
      </w:r>
      <w:hyperlink r:id="rId18" w:history="1">
        <w:r w:rsidR="005A48DC" w:rsidRPr="005A48DC">
          <w:rPr>
            <w:rStyle w:val="Hyperlink"/>
            <w:color w:val="1460AA"/>
            <w:u w:val="none"/>
          </w:rPr>
          <w:t>www.accessiq.org</w:t>
        </w:r>
      </w:hyperlink>
      <w:r w:rsidR="005A48DC">
        <w:t xml:space="preserve"> </w:t>
      </w:r>
      <w:r>
        <w:t>provides many free practical web accessibility resources, up-to-date news on developments with the World Wide Web Consortium (W3C) and commentary on current issues. The W3C column remains a feature with monthly updates from the W3C and commentary on emerging issues</w:t>
      </w:r>
      <w:r w:rsidR="00543119">
        <w:t xml:space="preserve"> impacting on accessibility</w:t>
      </w:r>
      <w:r>
        <w:t>.</w:t>
      </w:r>
    </w:p>
    <w:p w14:paraId="0B756512" w14:textId="03457B93" w:rsidR="00C6396C" w:rsidRDefault="00C6396C" w:rsidP="005132DB">
      <w:pPr>
        <w:pStyle w:val="Heading2"/>
      </w:pPr>
      <w:r w:rsidRPr="00C6396C">
        <w:t>Educating web professionals</w:t>
      </w:r>
    </w:p>
    <w:p w14:paraId="3A7D4610" w14:textId="77777777" w:rsidR="006127BF" w:rsidRDefault="00930EAE" w:rsidP="006127BF">
      <w:r>
        <w:t>In partnership with the University of South Australia</w:t>
      </w:r>
      <w:r w:rsidR="00543119">
        <w:t xml:space="preserve">, the </w:t>
      </w:r>
      <w:r>
        <w:t>Professional C</w:t>
      </w:r>
      <w:r w:rsidR="00CE2A73">
        <w:t>ertificate in Web Accessibility</w:t>
      </w:r>
      <w:r w:rsidR="00543119">
        <w:t xml:space="preserve"> </w:t>
      </w:r>
      <w:r>
        <w:t xml:space="preserve">is Australia’s only university-accredited web accessibility certificate for web professionals. Convened by Dr Scott Hollier and conveniently delivered online, the course intensely educated 90 web professionals in the Web Content Accessibility Guidelines (WCAG) 2.0 and how to audit </w:t>
      </w:r>
      <w:r w:rsidR="00543119">
        <w:t>and test for web accessibility.</w:t>
      </w:r>
      <w:r>
        <w:t xml:space="preserve"> The course continued to be popular with overseas professionals as well as Australians with a number of students from North America, New Zealand and Europe</w:t>
      </w:r>
      <w:r w:rsidR="005E311D">
        <w:t xml:space="preserve"> trained over the past year</w:t>
      </w:r>
      <w:r w:rsidR="006127BF">
        <w:t xml:space="preserve">. </w:t>
      </w:r>
    </w:p>
    <w:p w14:paraId="5DD23A3B" w14:textId="77777777" w:rsidR="006127BF" w:rsidRDefault="006127BF" w:rsidP="006127BF">
      <w:pPr>
        <w:keepNext/>
        <w:tabs>
          <w:tab w:val="left" w:pos="1276"/>
        </w:tabs>
        <w:ind w:left="1276"/>
      </w:pPr>
      <w:r>
        <w:rPr>
          <w:noProof/>
          <w:lang w:eastAsia="en-AU"/>
        </w:rPr>
        <w:drawing>
          <wp:inline distT="0" distB="0" distL="0" distR="0" wp14:anchorId="03208FB5" wp14:editId="52BB17E1">
            <wp:extent cx="4346143" cy="3835400"/>
            <wp:effectExtent l="0" t="0" r="0" b="0"/>
            <wp:docPr id="12" name="Picture 12" descr="Education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eidilaidler:Desktop:Screen Shot 2016-11-07 at 3.31.46 P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46412" cy="3835637"/>
                    </a:xfrm>
                    <a:prstGeom prst="rect">
                      <a:avLst/>
                    </a:prstGeom>
                    <a:noFill/>
                    <a:ln>
                      <a:noFill/>
                    </a:ln>
                  </pic:spPr>
                </pic:pic>
              </a:graphicData>
            </a:graphic>
          </wp:inline>
        </w:drawing>
      </w:r>
    </w:p>
    <w:p w14:paraId="636C125E" w14:textId="16575B10" w:rsidR="00930EAE" w:rsidRDefault="006127BF" w:rsidP="006127BF">
      <w:pPr>
        <w:pStyle w:val="Caption"/>
      </w:pPr>
      <w:r>
        <w:t xml:space="preserve">Figure </w:t>
      </w:r>
      <w:r w:rsidR="001413B1">
        <w:fldChar w:fldCharType="begin"/>
      </w:r>
      <w:r w:rsidR="001413B1">
        <w:instrText xml:space="preserve"> SEQ Figure \* ARABIC </w:instrText>
      </w:r>
      <w:r w:rsidR="001413B1">
        <w:fldChar w:fldCharType="separate"/>
      </w:r>
      <w:r>
        <w:rPr>
          <w:noProof/>
        </w:rPr>
        <w:t>3</w:t>
      </w:r>
      <w:r w:rsidR="001413B1">
        <w:rPr>
          <w:noProof/>
        </w:rPr>
        <w:fldChar w:fldCharType="end"/>
      </w:r>
      <w:r>
        <w:t>: 90 people have been taught about web accessibility as a part of the Professional Certificate</w:t>
      </w:r>
      <w:r w:rsidR="005A1914">
        <w:t xml:space="preserve"> in Web Accessibility.  Approximately 150 people have been taught how to create accessible content.</w:t>
      </w:r>
    </w:p>
    <w:p w14:paraId="0CCFFF3B" w14:textId="77777777" w:rsidR="006127BF" w:rsidRDefault="006127BF">
      <w:pPr>
        <w:spacing w:after="200"/>
        <w:ind w:right="0"/>
        <w:rPr>
          <w:rFonts w:ascii="Hanken Book" w:hAnsi="Hanken Book"/>
          <w:b/>
          <w:color w:val="1460AA"/>
          <w:sz w:val="36"/>
          <w:szCs w:val="33"/>
        </w:rPr>
      </w:pPr>
      <w:r>
        <w:br w:type="page"/>
      </w:r>
    </w:p>
    <w:p w14:paraId="440991D1" w14:textId="352CA558" w:rsidR="00930EAE" w:rsidRPr="00496438" w:rsidRDefault="00930EAE" w:rsidP="005132DB">
      <w:pPr>
        <w:pStyle w:val="Heading2"/>
      </w:pPr>
      <w:r w:rsidRPr="00496438">
        <w:lastRenderedPageBreak/>
        <w:t xml:space="preserve">Cognitive Disability </w:t>
      </w:r>
    </w:p>
    <w:p w14:paraId="3E2BC775" w14:textId="77777777" w:rsidR="005E311D" w:rsidRDefault="00930EAE" w:rsidP="00E71696">
      <w:r>
        <w:t>Up until recently, issues relating to sensory impairment have dominated the digital accessibility landscape</w:t>
      </w:r>
      <w:r w:rsidR="005E311D">
        <w:t>,</w:t>
      </w:r>
      <w:r>
        <w:t xml:space="preserve"> for obvious reasons. There is more known and understood about </w:t>
      </w:r>
      <w:r w:rsidR="005E311D" w:rsidRPr="005E311D">
        <w:t>sight, hearing, smell, touch, taste and spatial awareness</w:t>
      </w:r>
      <w:r>
        <w:t xml:space="preserve"> disabilities</w:t>
      </w:r>
      <w:r w:rsidR="005E311D">
        <w:t>, than cognitive disabilities,</w:t>
      </w:r>
      <w:r>
        <w:t xml:space="preserve"> and therefore </w:t>
      </w:r>
      <w:r w:rsidR="005E311D">
        <w:t xml:space="preserve">the </w:t>
      </w:r>
      <w:r>
        <w:t xml:space="preserve">accessibility solutions are more advanced. </w:t>
      </w:r>
    </w:p>
    <w:p w14:paraId="308FA6C0" w14:textId="77777777" w:rsidR="0083094D" w:rsidRDefault="00930EAE" w:rsidP="00E71696">
      <w:r>
        <w:t>It is apparent to us that cognitive disability and impairment is a much larger and lesser known area</w:t>
      </w:r>
      <w:r w:rsidR="005E311D">
        <w:t xml:space="preserve">. It is our next big challenge! </w:t>
      </w:r>
      <w:r>
        <w:t>In response, we developed the Cognitive Disability Digital Accessibility Guide</w:t>
      </w:r>
      <w:r w:rsidR="00654824">
        <w:t xml:space="preserve"> – a practical resource for organisational support</w:t>
      </w:r>
      <w:r>
        <w:t xml:space="preserve">. </w:t>
      </w:r>
    </w:p>
    <w:p w14:paraId="11FCE606" w14:textId="566873E4" w:rsidR="00930EAE" w:rsidRDefault="00930EAE" w:rsidP="00E71696">
      <w:r>
        <w:t>The Guide applies a cognitive disability lens over the WCAG 2.0 guidelines, identifying which particular areas are relevant and offers practical solutions and tip</w:t>
      </w:r>
      <w:r w:rsidR="00CE2A73">
        <w:t>s</w:t>
      </w:r>
      <w:r>
        <w:t xml:space="preserve"> for web designer</w:t>
      </w:r>
      <w:r w:rsidR="00CE2A73">
        <w:t>s</w:t>
      </w:r>
      <w:r>
        <w:t>, developers and content authors on how they c</w:t>
      </w:r>
      <w:r w:rsidR="0083094D">
        <w:t>an best cater for their needs. The Guide was launched in mid May 2016. 350 copies had been downloaded as at 30 June 2016.</w:t>
      </w:r>
    </w:p>
    <w:p w14:paraId="2E113897" w14:textId="77777777" w:rsidR="00930EAE" w:rsidRDefault="00930EAE" w:rsidP="005132DB">
      <w:pPr>
        <w:pStyle w:val="Heading2"/>
      </w:pPr>
      <w:r>
        <w:t>Board and staffing</w:t>
      </w:r>
    </w:p>
    <w:p w14:paraId="65B4CC79" w14:textId="77777777" w:rsidR="00930EAE" w:rsidRDefault="00930EAE" w:rsidP="00E71696">
      <w:r>
        <w:t>Further restructuring of the organisation has taken place to enable us to expand our usability testing service offering to include people with disabilities and older Australians. This enables our organisation to employ people with disabilities and better understand their needs in digital environments so we can advocate on their behalf.</w:t>
      </w:r>
    </w:p>
    <w:p w14:paraId="10421F01" w14:textId="77777777" w:rsidR="006127BF" w:rsidRDefault="006127BF" w:rsidP="006127BF">
      <w:pPr>
        <w:keepNext/>
      </w:pPr>
      <w:r>
        <w:rPr>
          <w:noProof/>
          <w:lang w:eastAsia="en-AU"/>
        </w:rPr>
        <w:drawing>
          <wp:inline distT="0" distB="0" distL="0" distR="0" wp14:anchorId="06F6B3F4" wp14:editId="5115B550">
            <wp:extent cx="5727700" cy="2336800"/>
            <wp:effectExtent l="0" t="0" r="12700" b="0"/>
            <wp:docPr id="11" name="Picture 11" descr="Usability Testing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eidilaidler:Desktop:Screen Shot 2016-11-07 at 2.51.47 P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700" cy="2336800"/>
                    </a:xfrm>
                    <a:prstGeom prst="rect">
                      <a:avLst/>
                    </a:prstGeom>
                    <a:noFill/>
                    <a:ln>
                      <a:noFill/>
                    </a:ln>
                  </pic:spPr>
                </pic:pic>
              </a:graphicData>
            </a:graphic>
          </wp:inline>
        </w:drawing>
      </w:r>
    </w:p>
    <w:p w14:paraId="64153311" w14:textId="35BB67BF" w:rsidR="00930EAE" w:rsidRDefault="006127BF" w:rsidP="006127BF">
      <w:pPr>
        <w:pStyle w:val="Caption"/>
      </w:pPr>
      <w:r>
        <w:t xml:space="preserve">Figure </w:t>
      </w:r>
      <w:r w:rsidR="001413B1">
        <w:fldChar w:fldCharType="begin"/>
      </w:r>
      <w:r w:rsidR="001413B1">
        <w:instrText xml:space="preserve"> SEQ Figure \* ARABIC </w:instrText>
      </w:r>
      <w:r w:rsidR="001413B1">
        <w:fldChar w:fldCharType="separate"/>
      </w:r>
      <w:r>
        <w:rPr>
          <w:noProof/>
        </w:rPr>
        <w:t>4</w:t>
      </w:r>
      <w:r w:rsidR="001413B1">
        <w:rPr>
          <w:noProof/>
        </w:rPr>
        <w:fldChar w:fldCharType="end"/>
      </w:r>
      <w:r>
        <w:t>: 8 people with disabilities engaged to conduct usability testing</w:t>
      </w:r>
    </w:p>
    <w:p w14:paraId="1C550FB6" w14:textId="77777777" w:rsidR="00930EAE" w:rsidRDefault="00930EAE" w:rsidP="00E71696">
      <w:r>
        <w:t>As we continue to work toward sustainability, accessibility is always at the forefront of our thinking. We continue to ask and ensure that the ‘accessibility lens’ is applied to everything we do</w:t>
      </w:r>
      <w:r w:rsidR="0044380E">
        <w:t>. T</w:t>
      </w:r>
      <w:r>
        <w:t>o this end, I acknowledge the staff of Media Access Australia</w:t>
      </w:r>
      <w:r w:rsidR="0044380E">
        <w:t>. M</w:t>
      </w:r>
      <w:r>
        <w:t xml:space="preserve">y colleagues </w:t>
      </w:r>
      <w:r w:rsidR="0044380E">
        <w:t>have</w:t>
      </w:r>
      <w:r>
        <w:t xml:space="preserve"> remain</w:t>
      </w:r>
      <w:r w:rsidR="0044380E">
        <w:t>ed</w:t>
      </w:r>
      <w:r>
        <w:t xml:space="preserve"> passionate and committed advocates for media and digital accessibility</w:t>
      </w:r>
      <w:r w:rsidR="0044380E">
        <w:t>, throughout a period of adversity and change</w:t>
      </w:r>
      <w:r>
        <w:t xml:space="preserve">. </w:t>
      </w:r>
    </w:p>
    <w:p w14:paraId="1F4B1FCD" w14:textId="77777777" w:rsidR="005A1914" w:rsidRDefault="005A1914">
      <w:pPr>
        <w:spacing w:after="200"/>
        <w:ind w:right="0"/>
        <w:rPr>
          <w:rFonts w:ascii="Hanken Book" w:hAnsi="Hanken Book"/>
          <w:color w:val="1460AA"/>
          <w:sz w:val="32"/>
          <w:szCs w:val="32"/>
        </w:rPr>
      </w:pPr>
      <w:r>
        <w:br w:type="page"/>
      </w:r>
    </w:p>
    <w:p w14:paraId="06486840" w14:textId="304D448A" w:rsidR="00930EAE" w:rsidRPr="005132DB" w:rsidRDefault="00930EAE" w:rsidP="005132DB">
      <w:pPr>
        <w:pStyle w:val="Heading3"/>
      </w:pPr>
      <w:r w:rsidRPr="005132DB">
        <w:lastRenderedPageBreak/>
        <w:t>Staff at 30 June 2016</w:t>
      </w:r>
    </w:p>
    <w:p w14:paraId="22D41C65" w14:textId="264B269A" w:rsidR="0044380E" w:rsidRDefault="0044380E" w:rsidP="00E71696">
      <w:r w:rsidRPr="0044380E">
        <w:t>Natalie Collins,</w:t>
      </w:r>
      <w:r w:rsidR="00EB4829">
        <w:t xml:space="preserve"> Alex Elton-Pym,</w:t>
      </w:r>
      <w:r w:rsidRPr="0044380E">
        <w:t xml:space="preserve"> Rebecca Grace, Scott Hollier, Philip Jenkinson, Geoff Knight, Matthew Putland, </w:t>
      </w:r>
      <w:r w:rsidR="00EB4829">
        <w:t xml:space="preserve">Monica </w:t>
      </w:r>
      <w:proofErr w:type="spellStart"/>
      <w:r w:rsidR="00EB4829">
        <w:t>Regalago</w:t>
      </w:r>
      <w:proofErr w:type="spellEnd"/>
      <w:r w:rsidR="00EB4829">
        <w:t xml:space="preserve">, </w:t>
      </w:r>
      <w:r w:rsidRPr="0044380E">
        <w:t>Angela Tragotsalos, Jennifer Vanek, Allayne Woodford</w:t>
      </w:r>
      <w:r>
        <w:t>.</w:t>
      </w:r>
    </w:p>
    <w:p w14:paraId="3E520A8F" w14:textId="77777777" w:rsidR="00930EAE" w:rsidRDefault="00930EAE" w:rsidP="00E71696">
      <w:r>
        <w:t>Media Access Australia</w:t>
      </w:r>
      <w:r w:rsidR="002C51A5">
        <w:t xml:space="preserve"> also</w:t>
      </w:r>
      <w:r>
        <w:t xml:space="preserve"> engaged the services of </w:t>
      </w:r>
      <w:r w:rsidR="0044380E">
        <w:t>eight</w:t>
      </w:r>
      <w:r>
        <w:t xml:space="preserve"> web accessibility and user experience analysts to assist with web accessibility testing and usability testing.</w:t>
      </w:r>
    </w:p>
    <w:p w14:paraId="6C6BEECE" w14:textId="77777777" w:rsidR="00930EAE" w:rsidRDefault="00930EAE" w:rsidP="005132DB">
      <w:pPr>
        <w:pStyle w:val="Heading3"/>
      </w:pPr>
      <w:r>
        <w:t>Staff who finished during the year</w:t>
      </w:r>
    </w:p>
    <w:p w14:paraId="03B55365" w14:textId="77777777" w:rsidR="001C5B33" w:rsidRDefault="001C5B33" w:rsidP="00C6396C">
      <w:r w:rsidRPr="001C5B33">
        <w:t xml:space="preserve">Dionne </w:t>
      </w:r>
      <w:proofErr w:type="spellStart"/>
      <w:r w:rsidRPr="001C5B33">
        <w:t>Mariz</w:t>
      </w:r>
      <w:proofErr w:type="spellEnd"/>
      <w:r w:rsidRPr="001C5B33">
        <w:t>, Chris Mikul, Christopher Pycroft, Adrian Redden, Toni Simons, Alex Varley.</w:t>
      </w:r>
    </w:p>
    <w:p w14:paraId="5E4CF539" w14:textId="77777777" w:rsidR="00930EAE" w:rsidRDefault="00930EAE" w:rsidP="005132DB">
      <w:pPr>
        <w:pStyle w:val="Heading2"/>
      </w:pPr>
      <w:r>
        <w:t>What’s next for Media Access Australia?</w:t>
      </w:r>
    </w:p>
    <w:p w14:paraId="49687A00" w14:textId="77777777" w:rsidR="00930EAE" w:rsidRDefault="00930EAE" w:rsidP="00E71696">
      <w:r>
        <w:t>The National Disability Insurance Scheme is providing new challenges for service providers and service recipients as they adjust to the new funding model. We will continue our role to increase awareness and provide practical information for service providers entering in this market and using the online medium to communicate and do business.</w:t>
      </w:r>
    </w:p>
    <w:p w14:paraId="481D3A3A" w14:textId="58D51E9E" w:rsidR="00930EAE" w:rsidRDefault="00CE2A73" w:rsidP="00E71696">
      <w:r>
        <w:t>Media Access Australia</w:t>
      </w:r>
      <w:r w:rsidR="00930EAE">
        <w:t xml:space="preserve"> will continue </w:t>
      </w:r>
      <w:r>
        <w:t xml:space="preserve">to focus </w:t>
      </w:r>
      <w:r w:rsidR="00930EAE">
        <w:t xml:space="preserve">on emerging technologies and developments with the Internet of Things and mobile accessibility as technology continues to advance at a rapid pace, </w:t>
      </w:r>
      <w:r>
        <w:t>we are</w:t>
      </w:r>
      <w:r w:rsidR="00930EAE">
        <w:t xml:space="preserve"> committed to continuing to advocate and seek out accessible and affordable solutions for people with disabilities and vulnerable members of our community. </w:t>
      </w:r>
    </w:p>
    <w:p w14:paraId="244F8FF3" w14:textId="77777777" w:rsidR="00930EAE" w:rsidRDefault="00930EAE" w:rsidP="00E71696">
      <w:r>
        <w:t xml:space="preserve">Finally, a key focus will remain on how we can increase awareness of accessibility amongst businesses, industry, government and the non-profit community, so that we can ensure those that most need ‘inclusion through technology’ can achieve that and are not left behind. </w:t>
      </w:r>
    </w:p>
    <w:p w14:paraId="1B521EB1" w14:textId="77777777" w:rsidR="00930EAE" w:rsidRDefault="00930EAE" w:rsidP="00E71696">
      <w:r>
        <w:rPr>
          <w:noProof/>
          <w:lang w:eastAsia="en-AU"/>
        </w:rPr>
        <w:drawing>
          <wp:inline distT="0" distB="0" distL="0" distR="0" wp14:anchorId="4CE28927" wp14:editId="2AAA6521">
            <wp:extent cx="1633451" cy="739833"/>
            <wp:effectExtent l="0" t="0" r="0" b="0"/>
            <wp:docPr id="5" name="Picture 5" descr="Natalie Colli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llins_signature.jpg"/>
                    <pic:cNvPicPr/>
                  </pic:nvPicPr>
                  <pic:blipFill>
                    <a:blip r:embed="rId21">
                      <a:extLst>
                        <a:ext uri="{28A0092B-C50C-407E-A947-70E740481C1C}">
                          <a14:useLocalDpi xmlns:a14="http://schemas.microsoft.com/office/drawing/2010/main" val="0"/>
                        </a:ext>
                      </a:extLst>
                    </a:blip>
                    <a:stretch>
                      <a:fillRect/>
                    </a:stretch>
                  </pic:blipFill>
                  <pic:spPr>
                    <a:xfrm>
                      <a:off x="0" y="0"/>
                      <a:ext cx="1633451" cy="739833"/>
                    </a:xfrm>
                    <a:prstGeom prst="rect">
                      <a:avLst/>
                    </a:prstGeom>
                  </pic:spPr>
                </pic:pic>
              </a:graphicData>
            </a:graphic>
          </wp:inline>
        </w:drawing>
      </w:r>
    </w:p>
    <w:p w14:paraId="387035BB" w14:textId="255B7A57" w:rsidR="00930EAE" w:rsidRPr="000A75DB" w:rsidRDefault="00930EAE" w:rsidP="00E71696">
      <w:r w:rsidRPr="00691D4B">
        <w:rPr>
          <w:b/>
        </w:rPr>
        <w:t>Natalie Collins</w:t>
      </w:r>
      <w:r w:rsidRPr="00E66BCA">
        <w:br/>
      </w:r>
      <w:r w:rsidR="00691D4B">
        <w:t xml:space="preserve">Acting </w:t>
      </w:r>
      <w:r w:rsidR="00691D4B" w:rsidRPr="00E66BCA">
        <w:t>Chief Executive Officer</w:t>
      </w:r>
    </w:p>
    <w:p w14:paraId="43CA2113" w14:textId="77777777" w:rsidR="00930EAE" w:rsidRPr="001F3EA2" w:rsidRDefault="00930EAE" w:rsidP="00E71696">
      <w:pPr>
        <w:sectPr w:rsidR="00930EAE" w:rsidRPr="001F3EA2" w:rsidSect="007C6542">
          <w:footerReference w:type="default" r:id="rId22"/>
          <w:pgSz w:w="11904" w:h="16836"/>
          <w:pgMar w:top="1440" w:right="1440" w:bottom="1276" w:left="1440" w:header="720" w:footer="0" w:gutter="0"/>
          <w:pgNumType w:start="3"/>
          <w:cols w:space="720"/>
          <w:vAlign w:val="center"/>
          <w:noEndnote/>
          <w:docGrid w:linePitch="299"/>
        </w:sectPr>
      </w:pPr>
    </w:p>
    <w:p w14:paraId="3C639D16" w14:textId="28CBD95C" w:rsidR="00930EAE" w:rsidRPr="004E43B6" w:rsidRDefault="00A40945" w:rsidP="005132DB">
      <w:pPr>
        <w:pStyle w:val="Heading1"/>
      </w:pPr>
      <w:bookmarkStart w:id="2" w:name="_Toc340406354"/>
      <w:r w:rsidRPr="004E43B6">
        <w:lastRenderedPageBreak/>
        <w:t>DIRECTORS’ REPORT</w:t>
      </w:r>
      <w:bookmarkEnd w:id="2"/>
    </w:p>
    <w:p w14:paraId="548E1DE6" w14:textId="77777777" w:rsidR="00930EAE" w:rsidRPr="005132DB" w:rsidRDefault="00930EAE" w:rsidP="00E71696">
      <w:pPr>
        <w:rPr>
          <w:rStyle w:val="Strong"/>
        </w:rPr>
      </w:pPr>
      <w:r w:rsidRPr="005132DB">
        <w:rPr>
          <w:rStyle w:val="Strong"/>
        </w:rPr>
        <w:t>For the Year Ended 30 June 2016</w:t>
      </w:r>
    </w:p>
    <w:p w14:paraId="6E3ABE7F" w14:textId="7E38AFEB" w:rsidR="00A40945" w:rsidRPr="00A430FE" w:rsidRDefault="00A40945" w:rsidP="005132DB">
      <w:pPr>
        <w:pStyle w:val="Heading2"/>
      </w:pPr>
      <w:r w:rsidRPr="00A430FE">
        <w:t>Information about the directors</w:t>
      </w:r>
    </w:p>
    <w:p w14:paraId="71CC17D2" w14:textId="77777777" w:rsidR="00930EAE" w:rsidRPr="004E43B6" w:rsidRDefault="00930EAE" w:rsidP="00E71696">
      <w:r w:rsidRPr="004E43B6">
        <w:t>The names of the directors in office at any time during, or since the end of the year are:</w:t>
      </w:r>
    </w:p>
    <w:tbl>
      <w:tblPr>
        <w:tblStyle w:val="TableGrid1"/>
        <w:tblW w:w="10031" w:type="dxa"/>
        <w:tblInd w:w="-318" w:type="dxa"/>
        <w:tblLayout w:type="fixed"/>
        <w:tblLook w:val="04A0" w:firstRow="1" w:lastRow="0" w:firstColumn="1" w:lastColumn="0" w:noHBand="0" w:noVBand="1"/>
        <w:tblDescription w:val="Directors' details"/>
      </w:tblPr>
      <w:tblGrid>
        <w:gridCol w:w="1844"/>
        <w:gridCol w:w="2410"/>
        <w:gridCol w:w="3260"/>
        <w:gridCol w:w="2517"/>
      </w:tblGrid>
      <w:tr w:rsidR="000B7B23" w:rsidRPr="004E43B6" w14:paraId="77A43EE7" w14:textId="77777777" w:rsidTr="000B7B23">
        <w:trPr>
          <w:cantSplit/>
          <w:trHeight w:val="458"/>
          <w:tblHeader/>
        </w:trPr>
        <w:tc>
          <w:tcPr>
            <w:tcW w:w="1844" w:type="dxa"/>
            <w:shd w:val="clear" w:color="auto" w:fill="404040" w:themeFill="text1" w:themeFillTint="BF"/>
            <w:vAlign w:val="center"/>
          </w:tcPr>
          <w:p w14:paraId="3DBAC003" w14:textId="77777777" w:rsidR="00930EAE" w:rsidRPr="005132DB" w:rsidRDefault="00930EAE" w:rsidP="00A430FE">
            <w:pPr>
              <w:jc w:val="center"/>
              <w:rPr>
                <w:rFonts w:ascii="Arial" w:hAnsi="Arial" w:cs="Arial"/>
                <w:color w:val="FFFFFF" w:themeColor="background1"/>
                <w:sz w:val="28"/>
              </w:rPr>
            </w:pPr>
            <w:r w:rsidRPr="005132DB">
              <w:rPr>
                <w:rFonts w:ascii="Arial" w:hAnsi="Arial" w:cs="Arial"/>
                <w:color w:val="FFFFFF" w:themeColor="background1"/>
                <w:sz w:val="28"/>
              </w:rPr>
              <w:t>Name</w:t>
            </w:r>
          </w:p>
        </w:tc>
        <w:tc>
          <w:tcPr>
            <w:tcW w:w="2410" w:type="dxa"/>
            <w:shd w:val="clear" w:color="auto" w:fill="404040" w:themeFill="text1" w:themeFillTint="BF"/>
            <w:vAlign w:val="center"/>
          </w:tcPr>
          <w:p w14:paraId="4064FC25" w14:textId="77777777" w:rsidR="00930EAE" w:rsidRPr="005132DB" w:rsidRDefault="00930EAE" w:rsidP="00A430FE">
            <w:pPr>
              <w:jc w:val="center"/>
              <w:rPr>
                <w:rFonts w:ascii="Arial" w:hAnsi="Arial" w:cs="Arial"/>
                <w:color w:val="FFFFFF" w:themeColor="background1"/>
                <w:sz w:val="28"/>
              </w:rPr>
            </w:pPr>
            <w:r w:rsidRPr="005132DB">
              <w:rPr>
                <w:rFonts w:ascii="Arial" w:hAnsi="Arial" w:cs="Arial"/>
                <w:color w:val="FFFFFF" w:themeColor="background1"/>
                <w:sz w:val="28"/>
              </w:rPr>
              <w:t>Qualifications</w:t>
            </w:r>
          </w:p>
        </w:tc>
        <w:tc>
          <w:tcPr>
            <w:tcW w:w="3260" w:type="dxa"/>
            <w:shd w:val="clear" w:color="auto" w:fill="404040" w:themeFill="text1" w:themeFillTint="BF"/>
            <w:vAlign w:val="center"/>
          </w:tcPr>
          <w:p w14:paraId="7D29F519" w14:textId="77777777" w:rsidR="00930EAE" w:rsidRPr="005132DB" w:rsidRDefault="00930EAE" w:rsidP="00A430FE">
            <w:pPr>
              <w:jc w:val="center"/>
              <w:rPr>
                <w:rFonts w:ascii="Arial" w:hAnsi="Arial" w:cs="Arial"/>
                <w:color w:val="FFFFFF" w:themeColor="background1"/>
                <w:sz w:val="28"/>
              </w:rPr>
            </w:pPr>
            <w:r w:rsidRPr="005132DB">
              <w:rPr>
                <w:rFonts w:ascii="Arial" w:hAnsi="Arial" w:cs="Arial"/>
                <w:color w:val="FFFFFF" w:themeColor="background1"/>
                <w:sz w:val="28"/>
              </w:rPr>
              <w:t>Directorships and other experience</w:t>
            </w:r>
          </w:p>
        </w:tc>
        <w:tc>
          <w:tcPr>
            <w:tcW w:w="2517" w:type="dxa"/>
            <w:shd w:val="clear" w:color="auto" w:fill="404040" w:themeFill="text1" w:themeFillTint="BF"/>
            <w:vAlign w:val="center"/>
          </w:tcPr>
          <w:p w14:paraId="4DACC23B" w14:textId="77777777" w:rsidR="00930EAE" w:rsidRPr="005132DB" w:rsidRDefault="00930EAE" w:rsidP="00A430FE">
            <w:pPr>
              <w:jc w:val="center"/>
              <w:rPr>
                <w:rFonts w:ascii="Arial" w:hAnsi="Arial" w:cs="Arial"/>
                <w:color w:val="FFFFFF" w:themeColor="background1"/>
                <w:sz w:val="28"/>
              </w:rPr>
            </w:pPr>
            <w:r w:rsidRPr="005132DB">
              <w:rPr>
                <w:rFonts w:ascii="Arial" w:hAnsi="Arial" w:cs="Arial"/>
                <w:color w:val="FFFFFF" w:themeColor="background1"/>
                <w:sz w:val="28"/>
              </w:rPr>
              <w:t>Special responsibilities</w:t>
            </w:r>
          </w:p>
        </w:tc>
      </w:tr>
      <w:tr w:rsidR="000B7B23" w:rsidRPr="004E43B6" w14:paraId="08BA7594" w14:textId="77777777" w:rsidTr="000B7B23">
        <w:trPr>
          <w:cantSplit/>
        </w:trPr>
        <w:tc>
          <w:tcPr>
            <w:tcW w:w="1844" w:type="dxa"/>
          </w:tcPr>
          <w:p w14:paraId="730E0C37" w14:textId="77777777" w:rsidR="00930EAE" w:rsidRPr="00A430FE" w:rsidRDefault="00930EAE" w:rsidP="00E71696">
            <w:pPr>
              <w:rPr>
                <w:szCs w:val="21"/>
              </w:rPr>
            </w:pPr>
            <w:r w:rsidRPr="00A430FE">
              <w:rPr>
                <w:szCs w:val="21"/>
              </w:rPr>
              <w:t>Helen Crossing. Director since 1997</w:t>
            </w:r>
          </w:p>
        </w:tc>
        <w:tc>
          <w:tcPr>
            <w:tcW w:w="2410" w:type="dxa"/>
          </w:tcPr>
          <w:p w14:paraId="7CF7942F" w14:textId="77777777" w:rsidR="00930EAE" w:rsidRPr="00A430FE" w:rsidRDefault="00930EAE" w:rsidP="00E71696">
            <w:pPr>
              <w:rPr>
                <w:szCs w:val="21"/>
              </w:rPr>
            </w:pPr>
            <w:r w:rsidRPr="00A430FE">
              <w:rPr>
                <w:szCs w:val="21"/>
              </w:rPr>
              <w:t xml:space="preserve">B. Sc. (ANU), Dip. Ed. (CCAE), M. Ed. (CCAE), Registered Psychologist </w:t>
            </w:r>
          </w:p>
        </w:tc>
        <w:tc>
          <w:tcPr>
            <w:tcW w:w="3260" w:type="dxa"/>
          </w:tcPr>
          <w:p w14:paraId="40FCD92B" w14:textId="77777777" w:rsidR="00930EAE" w:rsidRPr="00A430FE" w:rsidRDefault="00930EAE" w:rsidP="00E71696">
            <w:pPr>
              <w:rPr>
                <w:szCs w:val="21"/>
              </w:rPr>
            </w:pPr>
            <w:r w:rsidRPr="00A430FE">
              <w:rPr>
                <w:szCs w:val="21"/>
              </w:rPr>
              <w:t>Member of Australian Psychological Society</w:t>
            </w:r>
          </w:p>
          <w:p w14:paraId="3F241778" w14:textId="77777777" w:rsidR="00930EAE" w:rsidRPr="00A430FE" w:rsidRDefault="00930EAE" w:rsidP="00E71696">
            <w:pPr>
              <w:rPr>
                <w:szCs w:val="21"/>
              </w:rPr>
            </w:pPr>
            <w:r w:rsidRPr="00A430FE">
              <w:rPr>
                <w:szCs w:val="21"/>
              </w:rPr>
              <w:t xml:space="preserve">Consulting Psychologist </w:t>
            </w:r>
          </w:p>
          <w:p w14:paraId="66A5300E" w14:textId="77777777" w:rsidR="00930EAE" w:rsidRPr="00A430FE" w:rsidRDefault="00930EAE" w:rsidP="00E71696">
            <w:pPr>
              <w:rPr>
                <w:szCs w:val="21"/>
              </w:rPr>
            </w:pPr>
            <w:r w:rsidRPr="00A430FE">
              <w:rPr>
                <w:szCs w:val="21"/>
              </w:rPr>
              <w:t>Director Macleay Regis</w:t>
            </w:r>
          </w:p>
        </w:tc>
        <w:tc>
          <w:tcPr>
            <w:tcW w:w="2517" w:type="dxa"/>
          </w:tcPr>
          <w:p w14:paraId="6A3184A4" w14:textId="77777777" w:rsidR="00930EAE" w:rsidRPr="00A430FE" w:rsidRDefault="00930EAE" w:rsidP="00E71696">
            <w:pPr>
              <w:rPr>
                <w:szCs w:val="21"/>
              </w:rPr>
            </w:pPr>
          </w:p>
        </w:tc>
      </w:tr>
      <w:tr w:rsidR="000B7B23" w:rsidRPr="004E43B6" w14:paraId="2330BA8D" w14:textId="77777777" w:rsidTr="000B7B23">
        <w:trPr>
          <w:cantSplit/>
        </w:trPr>
        <w:tc>
          <w:tcPr>
            <w:tcW w:w="1844" w:type="dxa"/>
          </w:tcPr>
          <w:p w14:paraId="743D54C0" w14:textId="77777777" w:rsidR="00930EAE" w:rsidRPr="00A430FE" w:rsidRDefault="00930EAE" w:rsidP="00E71696">
            <w:pPr>
              <w:rPr>
                <w:szCs w:val="21"/>
              </w:rPr>
            </w:pPr>
            <w:r w:rsidRPr="00A430FE">
              <w:rPr>
                <w:szCs w:val="21"/>
              </w:rPr>
              <w:t>Ian Roache. Director since 2001</w:t>
            </w:r>
          </w:p>
        </w:tc>
        <w:tc>
          <w:tcPr>
            <w:tcW w:w="2410" w:type="dxa"/>
          </w:tcPr>
          <w:p w14:paraId="6FE94D79" w14:textId="77777777" w:rsidR="00930EAE" w:rsidRPr="00A430FE" w:rsidRDefault="00930EAE" w:rsidP="00E71696">
            <w:pPr>
              <w:rPr>
                <w:szCs w:val="21"/>
              </w:rPr>
            </w:pPr>
          </w:p>
        </w:tc>
        <w:tc>
          <w:tcPr>
            <w:tcW w:w="3260" w:type="dxa"/>
          </w:tcPr>
          <w:p w14:paraId="644E0162" w14:textId="77777777" w:rsidR="00930EAE" w:rsidRPr="00A430FE" w:rsidRDefault="00930EAE" w:rsidP="00E71696">
            <w:pPr>
              <w:rPr>
                <w:szCs w:val="21"/>
              </w:rPr>
            </w:pPr>
            <w:r w:rsidRPr="00A430FE">
              <w:rPr>
                <w:szCs w:val="21"/>
              </w:rPr>
              <w:t>Director of Lodestone Direction Pty Limited and Industry Capability Network (NSW) Limited</w:t>
            </w:r>
          </w:p>
        </w:tc>
        <w:tc>
          <w:tcPr>
            <w:tcW w:w="2517" w:type="dxa"/>
          </w:tcPr>
          <w:p w14:paraId="1F97F222" w14:textId="77777777" w:rsidR="00930EAE" w:rsidRPr="00A430FE" w:rsidRDefault="00930EAE" w:rsidP="00E71696">
            <w:pPr>
              <w:rPr>
                <w:szCs w:val="21"/>
              </w:rPr>
            </w:pPr>
            <w:r w:rsidRPr="00A430FE">
              <w:rPr>
                <w:szCs w:val="21"/>
              </w:rPr>
              <w:t>Chairman and Finance Committee</w:t>
            </w:r>
          </w:p>
        </w:tc>
      </w:tr>
      <w:tr w:rsidR="000B7B23" w:rsidRPr="004E43B6" w14:paraId="1BE711F4" w14:textId="77777777" w:rsidTr="000B7B23">
        <w:trPr>
          <w:cantSplit/>
        </w:trPr>
        <w:tc>
          <w:tcPr>
            <w:tcW w:w="1844" w:type="dxa"/>
          </w:tcPr>
          <w:p w14:paraId="1F716F8B" w14:textId="77777777" w:rsidR="00930EAE" w:rsidRPr="00A430FE" w:rsidRDefault="00930EAE" w:rsidP="00E71696">
            <w:pPr>
              <w:rPr>
                <w:szCs w:val="21"/>
              </w:rPr>
            </w:pPr>
            <w:r w:rsidRPr="00A430FE">
              <w:rPr>
                <w:szCs w:val="21"/>
              </w:rPr>
              <w:t>John Losco. Director since 1994</w:t>
            </w:r>
          </w:p>
        </w:tc>
        <w:tc>
          <w:tcPr>
            <w:tcW w:w="2410" w:type="dxa"/>
          </w:tcPr>
          <w:p w14:paraId="5DD0E370" w14:textId="77777777" w:rsidR="00930EAE" w:rsidRPr="00A430FE" w:rsidRDefault="00930EAE" w:rsidP="00E71696">
            <w:pPr>
              <w:rPr>
                <w:szCs w:val="21"/>
              </w:rPr>
            </w:pPr>
            <w:r w:rsidRPr="00A430FE">
              <w:rPr>
                <w:szCs w:val="21"/>
              </w:rPr>
              <w:t>B.Sc. B.EE. (Hons) (Sydney University), M.B.A. (University of NSW)</w:t>
            </w:r>
          </w:p>
        </w:tc>
        <w:tc>
          <w:tcPr>
            <w:tcW w:w="3260" w:type="dxa"/>
          </w:tcPr>
          <w:p w14:paraId="31B22584" w14:textId="77777777" w:rsidR="00930EAE" w:rsidRPr="00A430FE" w:rsidRDefault="00930EAE" w:rsidP="00E71696">
            <w:pPr>
              <w:rPr>
                <w:szCs w:val="21"/>
              </w:rPr>
            </w:pPr>
            <w:r w:rsidRPr="00A430FE">
              <w:rPr>
                <w:szCs w:val="21"/>
              </w:rPr>
              <w:t xml:space="preserve">Managing Director, Corporate and Government Telstra, </w:t>
            </w:r>
          </w:p>
          <w:p w14:paraId="1A560D06" w14:textId="77777777" w:rsidR="00930EAE" w:rsidRPr="00A430FE" w:rsidRDefault="00930EAE" w:rsidP="00E71696">
            <w:pPr>
              <w:rPr>
                <w:szCs w:val="21"/>
              </w:rPr>
            </w:pPr>
            <w:r w:rsidRPr="00A430FE">
              <w:rPr>
                <w:szCs w:val="21"/>
              </w:rPr>
              <w:t>Director Strategy and Pricing Telstra,</w:t>
            </w:r>
          </w:p>
          <w:p w14:paraId="723E7160" w14:textId="77777777" w:rsidR="00930EAE" w:rsidRPr="00A430FE" w:rsidRDefault="00930EAE" w:rsidP="00E71696">
            <w:pPr>
              <w:rPr>
                <w:szCs w:val="21"/>
              </w:rPr>
            </w:pPr>
            <w:r w:rsidRPr="00A430FE">
              <w:rPr>
                <w:szCs w:val="21"/>
              </w:rPr>
              <w:t xml:space="preserve">CEO </w:t>
            </w:r>
            <w:proofErr w:type="spellStart"/>
            <w:r w:rsidRPr="00A430FE">
              <w:rPr>
                <w:szCs w:val="21"/>
              </w:rPr>
              <w:t>Nextgen</w:t>
            </w:r>
            <w:proofErr w:type="spellEnd"/>
            <w:r w:rsidRPr="00A430FE">
              <w:rPr>
                <w:szCs w:val="21"/>
              </w:rPr>
              <w:t xml:space="preserve"> networks</w:t>
            </w:r>
          </w:p>
        </w:tc>
        <w:tc>
          <w:tcPr>
            <w:tcW w:w="2517" w:type="dxa"/>
          </w:tcPr>
          <w:p w14:paraId="609053AE" w14:textId="77777777" w:rsidR="00930EAE" w:rsidRPr="00A430FE" w:rsidRDefault="00930EAE" w:rsidP="00E71696">
            <w:pPr>
              <w:rPr>
                <w:szCs w:val="21"/>
              </w:rPr>
            </w:pPr>
          </w:p>
        </w:tc>
      </w:tr>
      <w:tr w:rsidR="000B7B23" w:rsidRPr="004E43B6" w14:paraId="58DDEBA0" w14:textId="77777777" w:rsidTr="000B7B23">
        <w:trPr>
          <w:cantSplit/>
        </w:trPr>
        <w:tc>
          <w:tcPr>
            <w:tcW w:w="1844" w:type="dxa"/>
          </w:tcPr>
          <w:p w14:paraId="0AA88C05" w14:textId="77777777" w:rsidR="00930EAE" w:rsidRPr="00A430FE" w:rsidRDefault="00930EAE" w:rsidP="00E71696">
            <w:pPr>
              <w:rPr>
                <w:szCs w:val="21"/>
              </w:rPr>
            </w:pPr>
            <w:r w:rsidRPr="00A430FE">
              <w:rPr>
                <w:szCs w:val="21"/>
              </w:rPr>
              <w:lastRenderedPageBreak/>
              <w:t>Victoria M. Rubensohn AM. Director since 1997</w:t>
            </w:r>
          </w:p>
        </w:tc>
        <w:tc>
          <w:tcPr>
            <w:tcW w:w="2410" w:type="dxa"/>
          </w:tcPr>
          <w:p w14:paraId="7F104F24" w14:textId="77777777" w:rsidR="00930EAE" w:rsidRPr="00A430FE" w:rsidRDefault="00930EAE" w:rsidP="00E71696">
            <w:pPr>
              <w:rPr>
                <w:szCs w:val="21"/>
              </w:rPr>
            </w:pPr>
            <w:r w:rsidRPr="00A430FE">
              <w:rPr>
                <w:szCs w:val="21"/>
              </w:rPr>
              <w:t>B.A, M.A (Sydney University), LLB (University of NSW), Master of Human Rights (Sydney University)</w:t>
            </w:r>
          </w:p>
        </w:tc>
        <w:tc>
          <w:tcPr>
            <w:tcW w:w="3260" w:type="dxa"/>
          </w:tcPr>
          <w:p w14:paraId="2FB9022E" w14:textId="77777777" w:rsidR="00930EAE" w:rsidRPr="00A430FE" w:rsidRDefault="00930EAE" w:rsidP="00E71696">
            <w:pPr>
              <w:rPr>
                <w:szCs w:val="21"/>
              </w:rPr>
            </w:pPr>
            <w:r w:rsidRPr="00A430FE">
              <w:rPr>
                <w:szCs w:val="21"/>
              </w:rPr>
              <w:t xml:space="preserve">International Communications Consultant. Directorships: ACCAN, Communications Compliance Ltd, Communications Law Centre. </w:t>
            </w:r>
          </w:p>
          <w:p w14:paraId="679559FA" w14:textId="77777777" w:rsidR="00930EAE" w:rsidRPr="00A430FE" w:rsidRDefault="00930EAE" w:rsidP="00E71696">
            <w:pPr>
              <w:rPr>
                <w:szCs w:val="21"/>
              </w:rPr>
            </w:pPr>
            <w:r w:rsidRPr="00A430FE">
              <w:rPr>
                <w:szCs w:val="21"/>
              </w:rPr>
              <w:t>Independent Reviewer, Advertising Standards Bureau; Code Authority Member, ADMA (</w:t>
            </w:r>
            <w:proofErr w:type="spellStart"/>
            <w:r w:rsidRPr="00A430FE">
              <w:rPr>
                <w:szCs w:val="21"/>
              </w:rPr>
              <w:t>Assoc</w:t>
            </w:r>
            <w:proofErr w:type="spellEnd"/>
            <w:r w:rsidRPr="00A430FE">
              <w:rPr>
                <w:szCs w:val="21"/>
              </w:rPr>
              <w:t xml:space="preserve"> for Data-driven Marketing and Advertising).</w:t>
            </w:r>
          </w:p>
          <w:p w14:paraId="67A9BFA8" w14:textId="77777777" w:rsidR="00930EAE" w:rsidRPr="00A430FE" w:rsidRDefault="00930EAE" w:rsidP="00E71696">
            <w:pPr>
              <w:rPr>
                <w:szCs w:val="21"/>
              </w:rPr>
            </w:pPr>
            <w:r w:rsidRPr="00A430FE">
              <w:rPr>
                <w:szCs w:val="21"/>
              </w:rPr>
              <w:t>Previously Convenor, Classification Review Board, Member of Standing Advisory Committee of ACCAN, Chairman Telephone of Information Services Standards Council, </w:t>
            </w:r>
            <w:r w:rsidRPr="00A430FE">
              <w:rPr>
                <w:szCs w:val="21"/>
              </w:rPr>
              <w:br/>
              <w:t>President and Director of Communications and Media Law Association, Director and Secretary of Fred Hollows Foundation.</w:t>
            </w:r>
          </w:p>
        </w:tc>
        <w:tc>
          <w:tcPr>
            <w:tcW w:w="2517" w:type="dxa"/>
          </w:tcPr>
          <w:p w14:paraId="762A8930" w14:textId="77777777" w:rsidR="00930EAE" w:rsidRPr="00A430FE" w:rsidRDefault="00930EAE" w:rsidP="00E71696">
            <w:pPr>
              <w:rPr>
                <w:szCs w:val="21"/>
              </w:rPr>
            </w:pPr>
            <w:r w:rsidRPr="00A430FE">
              <w:rPr>
                <w:szCs w:val="21"/>
              </w:rPr>
              <w:t>Company secretary</w:t>
            </w:r>
          </w:p>
        </w:tc>
      </w:tr>
      <w:tr w:rsidR="000B7B23" w:rsidRPr="004E43B6" w14:paraId="58B94F96" w14:textId="77777777" w:rsidTr="000B7B23">
        <w:tc>
          <w:tcPr>
            <w:tcW w:w="1844" w:type="dxa"/>
          </w:tcPr>
          <w:p w14:paraId="54A53643" w14:textId="77777777" w:rsidR="00930EAE" w:rsidRPr="00A430FE" w:rsidRDefault="00930EAE" w:rsidP="00E71696">
            <w:pPr>
              <w:rPr>
                <w:szCs w:val="21"/>
              </w:rPr>
            </w:pPr>
            <w:r w:rsidRPr="00A430FE">
              <w:rPr>
                <w:szCs w:val="21"/>
              </w:rPr>
              <w:t>Stephen H Wall. Director since 2006</w:t>
            </w:r>
          </w:p>
        </w:tc>
        <w:tc>
          <w:tcPr>
            <w:tcW w:w="2410" w:type="dxa"/>
          </w:tcPr>
          <w:p w14:paraId="611F79B6" w14:textId="77777777" w:rsidR="00930EAE" w:rsidRPr="00A430FE" w:rsidRDefault="00930EAE" w:rsidP="00E71696">
            <w:pPr>
              <w:rPr>
                <w:szCs w:val="21"/>
              </w:rPr>
            </w:pPr>
            <w:proofErr w:type="spellStart"/>
            <w:r w:rsidRPr="00A430FE">
              <w:rPr>
                <w:szCs w:val="21"/>
              </w:rPr>
              <w:t>B.Ec</w:t>
            </w:r>
            <w:proofErr w:type="spellEnd"/>
            <w:r w:rsidRPr="00A430FE">
              <w:rPr>
                <w:szCs w:val="21"/>
              </w:rPr>
              <w:t>. (University of Sydney)</w:t>
            </w:r>
          </w:p>
        </w:tc>
        <w:tc>
          <w:tcPr>
            <w:tcW w:w="3260" w:type="dxa"/>
          </w:tcPr>
          <w:p w14:paraId="0F8D1F00" w14:textId="77777777" w:rsidR="00930EAE" w:rsidRPr="00A430FE" w:rsidRDefault="00930EAE" w:rsidP="00E71696">
            <w:pPr>
              <w:rPr>
                <w:szCs w:val="21"/>
              </w:rPr>
            </w:pPr>
            <w:r w:rsidRPr="00A430FE">
              <w:rPr>
                <w:szCs w:val="21"/>
              </w:rPr>
              <w:t>Previously a director of the Australian Caption Centre 1994-2000. Experienced board member of public, private and not-for-profit companies.</w:t>
            </w:r>
          </w:p>
        </w:tc>
        <w:tc>
          <w:tcPr>
            <w:tcW w:w="2517" w:type="dxa"/>
          </w:tcPr>
          <w:p w14:paraId="33EAFB59" w14:textId="77777777" w:rsidR="00930EAE" w:rsidRPr="00A430FE" w:rsidRDefault="00930EAE" w:rsidP="00E71696">
            <w:pPr>
              <w:rPr>
                <w:szCs w:val="21"/>
              </w:rPr>
            </w:pPr>
            <w:r w:rsidRPr="00A430FE">
              <w:rPr>
                <w:szCs w:val="21"/>
              </w:rPr>
              <w:t>Finance Committee</w:t>
            </w:r>
          </w:p>
        </w:tc>
      </w:tr>
      <w:tr w:rsidR="00A430FE" w:rsidRPr="004E43B6" w14:paraId="7FB3DDBF" w14:textId="77777777" w:rsidTr="000B7B23">
        <w:tc>
          <w:tcPr>
            <w:tcW w:w="1844" w:type="dxa"/>
          </w:tcPr>
          <w:p w14:paraId="27A3903A" w14:textId="3FCB927A" w:rsidR="00A430FE" w:rsidRPr="00A40945" w:rsidRDefault="00A430FE" w:rsidP="00E71696">
            <w:pPr>
              <w:rPr>
                <w:sz w:val="21"/>
                <w:szCs w:val="21"/>
              </w:rPr>
            </w:pPr>
            <w:r w:rsidRPr="004E43B6">
              <w:t>Darren David Fittler. Director since 2012</w:t>
            </w:r>
          </w:p>
        </w:tc>
        <w:tc>
          <w:tcPr>
            <w:tcW w:w="2410" w:type="dxa"/>
          </w:tcPr>
          <w:p w14:paraId="7FBF1DC5" w14:textId="77777777" w:rsidR="00A430FE" w:rsidRPr="004E43B6" w:rsidRDefault="00A430FE" w:rsidP="00060A1A">
            <w:r w:rsidRPr="004E43B6">
              <w:t>Bachelor of Law (LLB), Bachelor of Social Work (BSW)</w:t>
            </w:r>
          </w:p>
          <w:p w14:paraId="48E0DC2F" w14:textId="77777777" w:rsidR="00A430FE" w:rsidRPr="00A40945" w:rsidRDefault="00A430FE" w:rsidP="00E71696">
            <w:pPr>
              <w:rPr>
                <w:sz w:val="21"/>
                <w:szCs w:val="21"/>
              </w:rPr>
            </w:pPr>
          </w:p>
        </w:tc>
        <w:tc>
          <w:tcPr>
            <w:tcW w:w="3260" w:type="dxa"/>
          </w:tcPr>
          <w:p w14:paraId="756BCC1D" w14:textId="61E60B65" w:rsidR="00A430FE" w:rsidRPr="00A40945" w:rsidRDefault="00A430FE" w:rsidP="00E71696">
            <w:pPr>
              <w:rPr>
                <w:sz w:val="21"/>
                <w:szCs w:val="21"/>
              </w:rPr>
            </w:pPr>
            <w:r w:rsidRPr="004E43B6">
              <w:t>Practising lawyer and member of the Law Society of NSW. Knowledge of charity and not-for-profit law. Member of the Australian Charity Law Association. Brings a blindness perspective to the Board.</w:t>
            </w:r>
          </w:p>
        </w:tc>
        <w:tc>
          <w:tcPr>
            <w:tcW w:w="2517" w:type="dxa"/>
          </w:tcPr>
          <w:p w14:paraId="43827AF5" w14:textId="77777777" w:rsidR="00A430FE" w:rsidRPr="00A40945" w:rsidRDefault="00A430FE" w:rsidP="00E71696">
            <w:pPr>
              <w:rPr>
                <w:sz w:val="21"/>
                <w:szCs w:val="21"/>
              </w:rPr>
            </w:pPr>
          </w:p>
        </w:tc>
      </w:tr>
      <w:tr w:rsidR="00A430FE" w:rsidRPr="004E43B6" w14:paraId="60A961BC" w14:textId="77777777" w:rsidTr="000B7B23">
        <w:tc>
          <w:tcPr>
            <w:tcW w:w="1844" w:type="dxa"/>
          </w:tcPr>
          <w:p w14:paraId="03BA71BF" w14:textId="51501335" w:rsidR="00A430FE" w:rsidRPr="00A40945" w:rsidRDefault="00A430FE" w:rsidP="00E71696">
            <w:pPr>
              <w:rPr>
                <w:sz w:val="21"/>
                <w:szCs w:val="21"/>
              </w:rPr>
            </w:pPr>
            <w:r w:rsidRPr="004E43B6">
              <w:t xml:space="preserve">William L Warner. Director since </w:t>
            </w:r>
            <w:r>
              <w:t>2014</w:t>
            </w:r>
          </w:p>
        </w:tc>
        <w:tc>
          <w:tcPr>
            <w:tcW w:w="2410" w:type="dxa"/>
          </w:tcPr>
          <w:p w14:paraId="07FDB937" w14:textId="77777777" w:rsidR="00A430FE" w:rsidRPr="004E43B6" w:rsidRDefault="00A430FE" w:rsidP="00060A1A">
            <w:proofErr w:type="spellStart"/>
            <w:r w:rsidRPr="004E43B6">
              <w:t>M.Ed</w:t>
            </w:r>
            <w:proofErr w:type="spellEnd"/>
            <w:r w:rsidRPr="004E43B6">
              <w:t xml:space="preserve"> (University of Technology, Sydney)</w:t>
            </w:r>
          </w:p>
          <w:p w14:paraId="22AA5394" w14:textId="2BB7281B" w:rsidR="00A430FE" w:rsidRPr="00A40945" w:rsidRDefault="00A430FE" w:rsidP="00E71696">
            <w:pPr>
              <w:rPr>
                <w:sz w:val="21"/>
                <w:szCs w:val="21"/>
              </w:rPr>
            </w:pPr>
            <w:proofErr w:type="spellStart"/>
            <w:r w:rsidRPr="004E43B6">
              <w:t>BEcon</w:t>
            </w:r>
            <w:proofErr w:type="spellEnd"/>
            <w:r w:rsidRPr="004E43B6">
              <w:t xml:space="preserve"> (University of </w:t>
            </w:r>
            <w:proofErr w:type="spellStart"/>
            <w:r w:rsidRPr="004E43B6">
              <w:t>Queesland</w:t>
            </w:r>
            <w:proofErr w:type="spellEnd"/>
            <w:r w:rsidRPr="004E43B6">
              <w:t>)</w:t>
            </w:r>
          </w:p>
        </w:tc>
        <w:tc>
          <w:tcPr>
            <w:tcW w:w="3260" w:type="dxa"/>
          </w:tcPr>
          <w:p w14:paraId="2C8A6555" w14:textId="77777777" w:rsidR="00A430FE" w:rsidRDefault="00A430FE" w:rsidP="00060A1A">
            <w:pPr>
              <w:pStyle w:val="Default"/>
              <w:rPr>
                <w:szCs w:val="22"/>
              </w:rPr>
            </w:pPr>
            <w:r>
              <w:rPr>
                <w:sz w:val="22"/>
                <w:szCs w:val="22"/>
              </w:rPr>
              <w:t xml:space="preserve">Chair of Financial Education Professionals Pty Ltd; </w:t>
            </w:r>
          </w:p>
          <w:p w14:paraId="7B55082A" w14:textId="545E3955" w:rsidR="00A430FE" w:rsidRPr="00A40945" w:rsidRDefault="00A430FE" w:rsidP="00E71696">
            <w:pPr>
              <w:rPr>
                <w:sz w:val="21"/>
                <w:szCs w:val="21"/>
              </w:rPr>
            </w:pPr>
            <w:r w:rsidRPr="004E43B6">
              <w:t>Experienced board member of private and not-for-profit companies.</w:t>
            </w:r>
          </w:p>
        </w:tc>
        <w:tc>
          <w:tcPr>
            <w:tcW w:w="2517" w:type="dxa"/>
          </w:tcPr>
          <w:p w14:paraId="08272454" w14:textId="77777777" w:rsidR="00A430FE" w:rsidRPr="00A40945" w:rsidRDefault="00A430FE" w:rsidP="00E71696">
            <w:pPr>
              <w:rPr>
                <w:sz w:val="21"/>
                <w:szCs w:val="21"/>
              </w:rPr>
            </w:pPr>
          </w:p>
        </w:tc>
      </w:tr>
    </w:tbl>
    <w:p w14:paraId="67783B43" w14:textId="34E5D6B1" w:rsidR="000B7B23" w:rsidRDefault="000B7B23" w:rsidP="00E71696"/>
    <w:p w14:paraId="706A1E49" w14:textId="77777777" w:rsidR="000B7B23" w:rsidRDefault="000B7B23">
      <w:pPr>
        <w:spacing w:after="200"/>
        <w:ind w:right="0"/>
      </w:pPr>
      <w:r>
        <w:br w:type="page"/>
      </w:r>
    </w:p>
    <w:p w14:paraId="3B15EC41" w14:textId="77777777" w:rsidR="00930EAE" w:rsidRPr="004E43B6" w:rsidRDefault="00930EAE" w:rsidP="005132DB">
      <w:pPr>
        <w:pStyle w:val="Heading2"/>
      </w:pPr>
      <w:r w:rsidRPr="004E43B6">
        <w:lastRenderedPageBreak/>
        <w:t>Meetings of Directors</w:t>
      </w:r>
    </w:p>
    <w:p w14:paraId="53155E2B" w14:textId="77777777" w:rsidR="00930EAE" w:rsidRDefault="00930EAE" w:rsidP="00E71696">
      <w:r w:rsidRPr="004E43B6">
        <w:t xml:space="preserve">During the financial year, nine meetings of the directors were held. Attendees by each director were as follows: </w:t>
      </w:r>
    </w:p>
    <w:tbl>
      <w:tblPr>
        <w:tblStyle w:val="TableGrid2"/>
        <w:tblW w:w="0" w:type="auto"/>
        <w:tblLook w:val="04A0" w:firstRow="1" w:lastRow="0" w:firstColumn="1" w:lastColumn="0" w:noHBand="0" w:noVBand="1"/>
        <w:tblDescription w:val="Meetings of Directors"/>
      </w:tblPr>
      <w:tblGrid>
        <w:gridCol w:w="3080"/>
        <w:gridCol w:w="3080"/>
        <w:gridCol w:w="3080"/>
      </w:tblGrid>
      <w:tr w:rsidR="00060A1A" w:rsidRPr="00060A1A" w14:paraId="027E5F92" w14:textId="77777777" w:rsidTr="00060A1A">
        <w:trPr>
          <w:cantSplit/>
          <w:tblHeader/>
        </w:trPr>
        <w:tc>
          <w:tcPr>
            <w:tcW w:w="3080" w:type="dxa"/>
            <w:shd w:val="clear" w:color="auto" w:fill="404040" w:themeFill="text1" w:themeFillTint="BF"/>
            <w:vAlign w:val="center"/>
          </w:tcPr>
          <w:p w14:paraId="00049C69" w14:textId="77777777" w:rsidR="00930EAE" w:rsidRPr="005132DB" w:rsidRDefault="00930EAE" w:rsidP="00060A1A">
            <w:pPr>
              <w:jc w:val="center"/>
              <w:rPr>
                <w:rFonts w:ascii="Arial" w:hAnsi="Arial" w:cs="Arial"/>
                <w:color w:val="FFFFFF" w:themeColor="background1"/>
                <w:sz w:val="28"/>
              </w:rPr>
            </w:pPr>
            <w:r w:rsidRPr="005132DB">
              <w:rPr>
                <w:rFonts w:ascii="Arial" w:hAnsi="Arial" w:cs="Arial"/>
                <w:color w:val="FFFFFF" w:themeColor="background1"/>
                <w:sz w:val="28"/>
              </w:rPr>
              <w:t>Director</w:t>
            </w:r>
          </w:p>
        </w:tc>
        <w:tc>
          <w:tcPr>
            <w:tcW w:w="3080" w:type="dxa"/>
            <w:shd w:val="clear" w:color="auto" w:fill="404040" w:themeFill="text1" w:themeFillTint="BF"/>
            <w:vAlign w:val="center"/>
          </w:tcPr>
          <w:p w14:paraId="4BF12955" w14:textId="77777777" w:rsidR="00930EAE" w:rsidRPr="005132DB" w:rsidRDefault="00930EAE" w:rsidP="00060A1A">
            <w:pPr>
              <w:jc w:val="center"/>
              <w:rPr>
                <w:rFonts w:ascii="Arial" w:hAnsi="Arial" w:cs="Arial"/>
                <w:color w:val="FFFFFF" w:themeColor="background1"/>
                <w:sz w:val="28"/>
              </w:rPr>
            </w:pPr>
            <w:r w:rsidRPr="005132DB">
              <w:rPr>
                <w:rFonts w:ascii="Arial" w:hAnsi="Arial" w:cs="Arial"/>
                <w:color w:val="FFFFFF" w:themeColor="background1"/>
                <w:sz w:val="28"/>
              </w:rPr>
              <w:t>Number eligible to attend</w:t>
            </w:r>
          </w:p>
        </w:tc>
        <w:tc>
          <w:tcPr>
            <w:tcW w:w="3080" w:type="dxa"/>
            <w:shd w:val="clear" w:color="auto" w:fill="404040" w:themeFill="text1" w:themeFillTint="BF"/>
            <w:vAlign w:val="center"/>
          </w:tcPr>
          <w:p w14:paraId="7DCB7CC4" w14:textId="77777777" w:rsidR="00930EAE" w:rsidRPr="005132DB" w:rsidRDefault="00930EAE" w:rsidP="00060A1A">
            <w:pPr>
              <w:jc w:val="center"/>
              <w:rPr>
                <w:rFonts w:ascii="Arial" w:hAnsi="Arial" w:cs="Arial"/>
                <w:color w:val="FFFFFF" w:themeColor="background1"/>
                <w:sz w:val="28"/>
              </w:rPr>
            </w:pPr>
            <w:r w:rsidRPr="005132DB">
              <w:rPr>
                <w:rFonts w:ascii="Arial" w:hAnsi="Arial" w:cs="Arial"/>
                <w:color w:val="FFFFFF" w:themeColor="background1"/>
                <w:sz w:val="28"/>
              </w:rPr>
              <w:t>Number attended</w:t>
            </w:r>
          </w:p>
        </w:tc>
      </w:tr>
      <w:tr w:rsidR="00060A1A" w:rsidRPr="00060A1A" w14:paraId="573AB2CD" w14:textId="77777777" w:rsidTr="00060A1A">
        <w:trPr>
          <w:cantSplit/>
        </w:trPr>
        <w:tc>
          <w:tcPr>
            <w:tcW w:w="3080" w:type="dxa"/>
            <w:vAlign w:val="center"/>
          </w:tcPr>
          <w:p w14:paraId="45251AF6" w14:textId="77777777" w:rsidR="00060A1A" w:rsidRPr="00060A1A" w:rsidRDefault="00060A1A" w:rsidP="00060A1A">
            <w:pPr>
              <w:spacing w:line="276" w:lineRule="auto"/>
              <w:jc w:val="center"/>
            </w:pPr>
            <w:r w:rsidRPr="00060A1A">
              <w:t>Victoria Mary Rubensohn</w:t>
            </w:r>
          </w:p>
        </w:tc>
        <w:tc>
          <w:tcPr>
            <w:tcW w:w="3080" w:type="dxa"/>
            <w:vAlign w:val="center"/>
          </w:tcPr>
          <w:p w14:paraId="3B882EAE" w14:textId="77777777" w:rsidR="00060A1A" w:rsidRPr="00060A1A" w:rsidRDefault="00060A1A" w:rsidP="00060A1A">
            <w:pPr>
              <w:spacing w:line="276" w:lineRule="auto"/>
              <w:jc w:val="center"/>
            </w:pPr>
            <w:r w:rsidRPr="00060A1A">
              <w:t>9</w:t>
            </w:r>
          </w:p>
        </w:tc>
        <w:tc>
          <w:tcPr>
            <w:tcW w:w="3080" w:type="dxa"/>
            <w:vAlign w:val="center"/>
          </w:tcPr>
          <w:p w14:paraId="7273957C" w14:textId="77777777" w:rsidR="00060A1A" w:rsidRPr="00060A1A" w:rsidRDefault="00060A1A" w:rsidP="00060A1A">
            <w:pPr>
              <w:spacing w:line="276" w:lineRule="auto"/>
              <w:jc w:val="center"/>
            </w:pPr>
            <w:r w:rsidRPr="00060A1A">
              <w:t>9</w:t>
            </w:r>
          </w:p>
        </w:tc>
      </w:tr>
      <w:tr w:rsidR="00060A1A" w:rsidRPr="00060A1A" w14:paraId="30FC8D2E" w14:textId="77777777" w:rsidTr="00060A1A">
        <w:trPr>
          <w:cantSplit/>
        </w:trPr>
        <w:tc>
          <w:tcPr>
            <w:tcW w:w="3080" w:type="dxa"/>
            <w:vAlign w:val="center"/>
          </w:tcPr>
          <w:p w14:paraId="01EA4CF3" w14:textId="77777777" w:rsidR="00060A1A" w:rsidRPr="00060A1A" w:rsidRDefault="00060A1A" w:rsidP="00060A1A">
            <w:pPr>
              <w:spacing w:line="276" w:lineRule="auto"/>
              <w:jc w:val="center"/>
            </w:pPr>
            <w:r w:rsidRPr="00060A1A">
              <w:t>Ian Roache</w:t>
            </w:r>
          </w:p>
        </w:tc>
        <w:tc>
          <w:tcPr>
            <w:tcW w:w="3080" w:type="dxa"/>
            <w:vAlign w:val="center"/>
          </w:tcPr>
          <w:p w14:paraId="1496BE07" w14:textId="77777777" w:rsidR="00060A1A" w:rsidRPr="00060A1A" w:rsidRDefault="00060A1A" w:rsidP="00060A1A">
            <w:pPr>
              <w:spacing w:line="276" w:lineRule="auto"/>
              <w:jc w:val="center"/>
            </w:pPr>
            <w:r w:rsidRPr="00060A1A">
              <w:t>9</w:t>
            </w:r>
          </w:p>
        </w:tc>
        <w:tc>
          <w:tcPr>
            <w:tcW w:w="3080" w:type="dxa"/>
            <w:vAlign w:val="center"/>
          </w:tcPr>
          <w:p w14:paraId="7604CB6A" w14:textId="77777777" w:rsidR="00060A1A" w:rsidRPr="00060A1A" w:rsidRDefault="00060A1A" w:rsidP="00060A1A">
            <w:pPr>
              <w:spacing w:line="276" w:lineRule="auto"/>
              <w:jc w:val="center"/>
            </w:pPr>
            <w:r w:rsidRPr="00060A1A">
              <w:t>8</w:t>
            </w:r>
          </w:p>
        </w:tc>
      </w:tr>
      <w:tr w:rsidR="00060A1A" w:rsidRPr="00060A1A" w14:paraId="508A5B75" w14:textId="77777777" w:rsidTr="00060A1A">
        <w:trPr>
          <w:cantSplit/>
        </w:trPr>
        <w:tc>
          <w:tcPr>
            <w:tcW w:w="3080" w:type="dxa"/>
            <w:vAlign w:val="center"/>
          </w:tcPr>
          <w:p w14:paraId="63C0F84C" w14:textId="77777777" w:rsidR="00060A1A" w:rsidRPr="00060A1A" w:rsidRDefault="00060A1A" w:rsidP="00060A1A">
            <w:pPr>
              <w:spacing w:line="276" w:lineRule="auto"/>
              <w:jc w:val="center"/>
            </w:pPr>
            <w:r w:rsidRPr="00060A1A">
              <w:t>John Losco</w:t>
            </w:r>
          </w:p>
        </w:tc>
        <w:tc>
          <w:tcPr>
            <w:tcW w:w="3080" w:type="dxa"/>
            <w:vAlign w:val="center"/>
          </w:tcPr>
          <w:p w14:paraId="7D026C99" w14:textId="77777777" w:rsidR="00060A1A" w:rsidRPr="00060A1A" w:rsidRDefault="00060A1A" w:rsidP="00060A1A">
            <w:pPr>
              <w:spacing w:line="276" w:lineRule="auto"/>
              <w:jc w:val="center"/>
            </w:pPr>
            <w:r w:rsidRPr="00060A1A">
              <w:t>9</w:t>
            </w:r>
          </w:p>
        </w:tc>
        <w:tc>
          <w:tcPr>
            <w:tcW w:w="3080" w:type="dxa"/>
            <w:vAlign w:val="center"/>
          </w:tcPr>
          <w:p w14:paraId="610D267C" w14:textId="77777777" w:rsidR="00060A1A" w:rsidRPr="00060A1A" w:rsidRDefault="00060A1A" w:rsidP="00060A1A">
            <w:pPr>
              <w:spacing w:line="276" w:lineRule="auto"/>
              <w:jc w:val="center"/>
            </w:pPr>
            <w:r w:rsidRPr="00060A1A">
              <w:t>6</w:t>
            </w:r>
          </w:p>
        </w:tc>
      </w:tr>
      <w:tr w:rsidR="00060A1A" w:rsidRPr="00060A1A" w14:paraId="65E69792" w14:textId="77777777" w:rsidTr="00060A1A">
        <w:trPr>
          <w:cantSplit/>
        </w:trPr>
        <w:tc>
          <w:tcPr>
            <w:tcW w:w="3080" w:type="dxa"/>
            <w:vAlign w:val="center"/>
          </w:tcPr>
          <w:p w14:paraId="66E36D5F" w14:textId="77777777" w:rsidR="00060A1A" w:rsidRPr="00060A1A" w:rsidRDefault="00060A1A" w:rsidP="00060A1A">
            <w:pPr>
              <w:spacing w:line="276" w:lineRule="auto"/>
              <w:jc w:val="center"/>
            </w:pPr>
            <w:r w:rsidRPr="00060A1A">
              <w:t>Helen Crossing</w:t>
            </w:r>
          </w:p>
        </w:tc>
        <w:tc>
          <w:tcPr>
            <w:tcW w:w="3080" w:type="dxa"/>
            <w:vAlign w:val="center"/>
          </w:tcPr>
          <w:p w14:paraId="3DE7B57F" w14:textId="77777777" w:rsidR="00060A1A" w:rsidRPr="00060A1A" w:rsidRDefault="00060A1A" w:rsidP="00060A1A">
            <w:pPr>
              <w:spacing w:line="276" w:lineRule="auto"/>
              <w:jc w:val="center"/>
            </w:pPr>
            <w:r w:rsidRPr="00060A1A">
              <w:t>9</w:t>
            </w:r>
          </w:p>
        </w:tc>
        <w:tc>
          <w:tcPr>
            <w:tcW w:w="3080" w:type="dxa"/>
            <w:vAlign w:val="center"/>
          </w:tcPr>
          <w:p w14:paraId="7D2A96C2" w14:textId="77777777" w:rsidR="00060A1A" w:rsidRPr="00060A1A" w:rsidRDefault="00060A1A" w:rsidP="00060A1A">
            <w:pPr>
              <w:spacing w:line="276" w:lineRule="auto"/>
              <w:jc w:val="center"/>
            </w:pPr>
            <w:r w:rsidRPr="00060A1A">
              <w:t>7</w:t>
            </w:r>
          </w:p>
        </w:tc>
      </w:tr>
      <w:tr w:rsidR="00060A1A" w:rsidRPr="00060A1A" w14:paraId="37A024E7" w14:textId="77777777" w:rsidTr="00060A1A">
        <w:trPr>
          <w:cantSplit/>
        </w:trPr>
        <w:tc>
          <w:tcPr>
            <w:tcW w:w="3080" w:type="dxa"/>
            <w:vAlign w:val="center"/>
          </w:tcPr>
          <w:p w14:paraId="5A51A90F" w14:textId="77777777" w:rsidR="00060A1A" w:rsidRPr="00060A1A" w:rsidRDefault="00060A1A" w:rsidP="00060A1A">
            <w:pPr>
              <w:spacing w:line="276" w:lineRule="auto"/>
              <w:jc w:val="center"/>
            </w:pPr>
            <w:r w:rsidRPr="00060A1A">
              <w:t>Stephen Harry Wall</w:t>
            </w:r>
          </w:p>
        </w:tc>
        <w:tc>
          <w:tcPr>
            <w:tcW w:w="3080" w:type="dxa"/>
            <w:vAlign w:val="center"/>
          </w:tcPr>
          <w:p w14:paraId="09CF894E" w14:textId="77777777" w:rsidR="00060A1A" w:rsidRPr="00060A1A" w:rsidRDefault="00060A1A" w:rsidP="00060A1A">
            <w:pPr>
              <w:spacing w:line="276" w:lineRule="auto"/>
              <w:jc w:val="center"/>
            </w:pPr>
            <w:r w:rsidRPr="00060A1A">
              <w:t>9</w:t>
            </w:r>
          </w:p>
        </w:tc>
        <w:tc>
          <w:tcPr>
            <w:tcW w:w="3080" w:type="dxa"/>
            <w:vAlign w:val="center"/>
          </w:tcPr>
          <w:p w14:paraId="79D33B8A" w14:textId="77777777" w:rsidR="00060A1A" w:rsidRPr="00060A1A" w:rsidRDefault="00060A1A" w:rsidP="00060A1A">
            <w:pPr>
              <w:spacing w:line="276" w:lineRule="auto"/>
              <w:jc w:val="center"/>
            </w:pPr>
            <w:r w:rsidRPr="00060A1A">
              <w:t>6</w:t>
            </w:r>
          </w:p>
        </w:tc>
      </w:tr>
      <w:tr w:rsidR="00060A1A" w:rsidRPr="00060A1A" w14:paraId="790ED42D" w14:textId="77777777" w:rsidTr="00060A1A">
        <w:trPr>
          <w:cantSplit/>
        </w:trPr>
        <w:tc>
          <w:tcPr>
            <w:tcW w:w="3080" w:type="dxa"/>
            <w:vAlign w:val="center"/>
          </w:tcPr>
          <w:p w14:paraId="15B490DB" w14:textId="77777777" w:rsidR="00060A1A" w:rsidRPr="00060A1A" w:rsidRDefault="00060A1A" w:rsidP="00060A1A">
            <w:pPr>
              <w:spacing w:line="276" w:lineRule="auto"/>
              <w:jc w:val="center"/>
            </w:pPr>
            <w:r w:rsidRPr="00060A1A">
              <w:t>Darren David Fittler</w:t>
            </w:r>
          </w:p>
        </w:tc>
        <w:tc>
          <w:tcPr>
            <w:tcW w:w="3080" w:type="dxa"/>
            <w:vAlign w:val="center"/>
          </w:tcPr>
          <w:p w14:paraId="4B25DA5B" w14:textId="77777777" w:rsidR="00060A1A" w:rsidRPr="00060A1A" w:rsidRDefault="00060A1A" w:rsidP="00060A1A">
            <w:pPr>
              <w:spacing w:line="276" w:lineRule="auto"/>
              <w:jc w:val="center"/>
            </w:pPr>
            <w:r w:rsidRPr="00060A1A">
              <w:t>9</w:t>
            </w:r>
          </w:p>
        </w:tc>
        <w:tc>
          <w:tcPr>
            <w:tcW w:w="3080" w:type="dxa"/>
            <w:vAlign w:val="center"/>
          </w:tcPr>
          <w:p w14:paraId="0636A2C3" w14:textId="77777777" w:rsidR="00060A1A" w:rsidRPr="00060A1A" w:rsidRDefault="00060A1A" w:rsidP="00060A1A">
            <w:pPr>
              <w:spacing w:line="276" w:lineRule="auto"/>
              <w:jc w:val="center"/>
            </w:pPr>
            <w:r w:rsidRPr="00060A1A">
              <w:t>7</w:t>
            </w:r>
          </w:p>
        </w:tc>
      </w:tr>
      <w:tr w:rsidR="00060A1A" w:rsidRPr="00060A1A" w14:paraId="2A50DAFC" w14:textId="77777777" w:rsidTr="00060A1A">
        <w:trPr>
          <w:cantSplit/>
        </w:trPr>
        <w:tc>
          <w:tcPr>
            <w:tcW w:w="3080" w:type="dxa"/>
            <w:vAlign w:val="center"/>
          </w:tcPr>
          <w:p w14:paraId="48EEAB2C" w14:textId="77777777" w:rsidR="00060A1A" w:rsidRPr="00060A1A" w:rsidRDefault="00060A1A" w:rsidP="00060A1A">
            <w:pPr>
              <w:spacing w:line="276" w:lineRule="auto"/>
              <w:jc w:val="center"/>
            </w:pPr>
            <w:r w:rsidRPr="00060A1A">
              <w:t>William Warner</w:t>
            </w:r>
          </w:p>
        </w:tc>
        <w:tc>
          <w:tcPr>
            <w:tcW w:w="3080" w:type="dxa"/>
            <w:vAlign w:val="center"/>
          </w:tcPr>
          <w:p w14:paraId="07299553" w14:textId="77777777" w:rsidR="00060A1A" w:rsidRPr="00060A1A" w:rsidRDefault="00060A1A" w:rsidP="00060A1A">
            <w:pPr>
              <w:spacing w:line="276" w:lineRule="auto"/>
              <w:jc w:val="center"/>
            </w:pPr>
            <w:r w:rsidRPr="00060A1A">
              <w:t>9</w:t>
            </w:r>
          </w:p>
        </w:tc>
        <w:tc>
          <w:tcPr>
            <w:tcW w:w="3080" w:type="dxa"/>
            <w:vAlign w:val="center"/>
          </w:tcPr>
          <w:p w14:paraId="61523890" w14:textId="77777777" w:rsidR="00060A1A" w:rsidRPr="00060A1A" w:rsidRDefault="00060A1A" w:rsidP="00060A1A">
            <w:pPr>
              <w:spacing w:line="276" w:lineRule="auto"/>
              <w:jc w:val="center"/>
            </w:pPr>
            <w:r w:rsidRPr="00060A1A">
              <w:t>9</w:t>
            </w:r>
          </w:p>
        </w:tc>
      </w:tr>
    </w:tbl>
    <w:p w14:paraId="16800E3C" w14:textId="77777777" w:rsidR="00060A1A" w:rsidRDefault="00060A1A" w:rsidP="00E71696"/>
    <w:p w14:paraId="24D3FE36" w14:textId="77777777" w:rsidR="00930EAE" w:rsidRPr="004E43B6" w:rsidRDefault="00930EAE" w:rsidP="005132DB">
      <w:pPr>
        <w:pStyle w:val="Heading2"/>
        <w:rPr>
          <w:sz w:val="24"/>
          <w:szCs w:val="24"/>
        </w:rPr>
      </w:pPr>
      <w:r w:rsidRPr="004E43B6">
        <w:t>Changes in state of affairs</w:t>
      </w:r>
    </w:p>
    <w:p w14:paraId="73CC1164" w14:textId="77777777" w:rsidR="006168B3" w:rsidRDefault="006168B3" w:rsidP="00E71696">
      <w:r>
        <w:t>Chief Executive Officer, Alex Varley departed the organisation in May 2016, with recruitment of a new Chief Executive underway as at 30 June 2016.</w:t>
      </w:r>
    </w:p>
    <w:p w14:paraId="76C416DF" w14:textId="77777777" w:rsidR="00930EAE" w:rsidRPr="004E43B6" w:rsidRDefault="00930EAE" w:rsidP="005132DB">
      <w:pPr>
        <w:pStyle w:val="Heading2"/>
      </w:pPr>
      <w:r w:rsidRPr="004E43B6">
        <w:t>Subsequent events</w:t>
      </w:r>
    </w:p>
    <w:p w14:paraId="4A8351B2" w14:textId="5D4F7E47" w:rsidR="00930EAE" w:rsidRPr="004E43B6" w:rsidRDefault="00930EAE" w:rsidP="00E71696">
      <w:r w:rsidRPr="004E43B6">
        <w:t>No matters or circumstances have arisen since the end of the financial year which significantly affected or may significantly affect the operations of the economic entity, the results of those operations, or the state of affairs of the economic entity in future financial years.</w:t>
      </w:r>
    </w:p>
    <w:p w14:paraId="46FD3326" w14:textId="77777777" w:rsidR="00930EAE" w:rsidRPr="004E43B6" w:rsidRDefault="00930EAE" w:rsidP="005132DB">
      <w:pPr>
        <w:pStyle w:val="Heading2"/>
      </w:pPr>
      <w:r w:rsidRPr="004E43B6">
        <w:t>Environmental regulations</w:t>
      </w:r>
    </w:p>
    <w:p w14:paraId="7AA00D3F" w14:textId="77777777" w:rsidR="00930EAE" w:rsidRPr="004E43B6" w:rsidRDefault="00930EAE" w:rsidP="00E71696">
      <w:r w:rsidRPr="004E43B6">
        <w:t>The economic entity’s operations are not regulated by any significant environmental regulation under a law of the Commonwealth or of a state or territory.</w:t>
      </w:r>
    </w:p>
    <w:p w14:paraId="2DD756B3" w14:textId="77777777" w:rsidR="00691D4B" w:rsidRDefault="00691D4B">
      <w:pPr>
        <w:spacing w:after="200"/>
        <w:ind w:right="0"/>
        <w:rPr>
          <w:rFonts w:ascii="Hanken Book" w:hAnsi="Hanken Book"/>
          <w:b/>
          <w:color w:val="1460AA"/>
          <w:sz w:val="36"/>
          <w:szCs w:val="33"/>
        </w:rPr>
      </w:pPr>
      <w:r>
        <w:br w:type="page"/>
      </w:r>
    </w:p>
    <w:p w14:paraId="69291EEC" w14:textId="41712CFA" w:rsidR="00930EAE" w:rsidRPr="004E43B6" w:rsidRDefault="00930EAE" w:rsidP="005132DB">
      <w:pPr>
        <w:pStyle w:val="Heading2"/>
      </w:pPr>
      <w:r w:rsidRPr="004E43B6">
        <w:lastRenderedPageBreak/>
        <w:t>Indemnification of officers and auditors</w:t>
      </w:r>
    </w:p>
    <w:p w14:paraId="69943972" w14:textId="77777777" w:rsidR="00930EAE" w:rsidRPr="004E43B6" w:rsidRDefault="00930EAE" w:rsidP="00E71696">
      <w:r w:rsidRPr="004E43B6">
        <w:t>During or since the financial year, the company has paid premiums in respect of a contract insuring all the directors of Media Access Australia against legal costs incurred in defending proceedings for conduct other than:</w:t>
      </w:r>
    </w:p>
    <w:p w14:paraId="766CB1F6" w14:textId="77777777" w:rsidR="00930EAE" w:rsidRPr="004E43B6" w:rsidRDefault="00930EAE" w:rsidP="00E71696">
      <w:pPr>
        <w:pStyle w:val="ListParagraph"/>
        <w:numPr>
          <w:ilvl w:val="0"/>
          <w:numId w:val="8"/>
        </w:numPr>
      </w:pPr>
      <w:r w:rsidRPr="004E43B6">
        <w:t>A wilful breach of duty.</w:t>
      </w:r>
    </w:p>
    <w:p w14:paraId="42F42B9E" w14:textId="77777777" w:rsidR="00930EAE" w:rsidRPr="004E43B6" w:rsidRDefault="00930EAE" w:rsidP="00E71696">
      <w:pPr>
        <w:pStyle w:val="ListParagraph"/>
        <w:numPr>
          <w:ilvl w:val="0"/>
          <w:numId w:val="8"/>
        </w:numPr>
      </w:pPr>
      <w:r w:rsidRPr="004E43B6">
        <w:t xml:space="preserve">A contravention of sections 182 or 183 of the </w:t>
      </w:r>
      <w:r w:rsidRPr="004E43B6">
        <w:rPr>
          <w:i/>
          <w:iCs/>
        </w:rPr>
        <w:t>Corporations Act 2001</w:t>
      </w:r>
      <w:r w:rsidRPr="004E43B6">
        <w:t xml:space="preserve">, as permitted by section 199B of the </w:t>
      </w:r>
      <w:r w:rsidRPr="004E43B6">
        <w:rPr>
          <w:i/>
          <w:iCs/>
        </w:rPr>
        <w:t>Corporations Act 2001</w:t>
      </w:r>
    </w:p>
    <w:p w14:paraId="2C3A32FA" w14:textId="77777777" w:rsidR="00930EAE" w:rsidRPr="004E43B6" w:rsidRDefault="00930EAE" w:rsidP="00E71696">
      <w:r w:rsidRPr="004E43B6">
        <w:t xml:space="preserve">The total amount of insurance contract premiums paid </w:t>
      </w:r>
      <w:r w:rsidRPr="00EF3222">
        <w:t xml:space="preserve">was </w:t>
      </w:r>
      <w:r w:rsidR="00EF3222" w:rsidRPr="00EF3222">
        <w:t>$8,415.67</w:t>
      </w:r>
      <w:r w:rsidRPr="00EF3222">
        <w:t>.</w:t>
      </w:r>
      <w:r>
        <w:t xml:space="preserve"> </w:t>
      </w:r>
    </w:p>
    <w:p w14:paraId="4FC26DD9" w14:textId="77777777" w:rsidR="00930EAE" w:rsidRPr="004E43B6" w:rsidRDefault="00930EAE" w:rsidP="005132DB">
      <w:pPr>
        <w:pStyle w:val="Heading2"/>
      </w:pPr>
      <w:r w:rsidRPr="004E43B6">
        <w:t>Proceedings on behalf of the company</w:t>
      </w:r>
    </w:p>
    <w:p w14:paraId="70FCED2E" w14:textId="77777777" w:rsidR="00930EAE" w:rsidRPr="004E43B6" w:rsidRDefault="00930EAE" w:rsidP="00E71696">
      <w:r w:rsidRPr="004E43B6">
        <w:t>No person has applied for leave of Court to bring proceedings on behalf of the company or intervene in any proceedings to which the company is a party for the purpose of taking responsibility on behalf of the company for all or any part of those proceedings.</w:t>
      </w:r>
    </w:p>
    <w:p w14:paraId="3223E543" w14:textId="77777777" w:rsidR="00930EAE" w:rsidRPr="004E43B6" w:rsidRDefault="00930EAE" w:rsidP="005132DB">
      <w:pPr>
        <w:pStyle w:val="Heading2"/>
      </w:pPr>
      <w:r w:rsidRPr="004E43B6">
        <w:t>Dividends</w:t>
      </w:r>
    </w:p>
    <w:p w14:paraId="261F1661" w14:textId="77777777" w:rsidR="00930EAE" w:rsidRPr="004E43B6" w:rsidRDefault="00930EAE" w:rsidP="00E71696">
      <w:r w:rsidRPr="004E43B6">
        <w:t>No dividends were paid or declared since the start of the current financial year.</w:t>
      </w:r>
    </w:p>
    <w:p w14:paraId="11AA5551" w14:textId="77777777" w:rsidR="00930EAE" w:rsidRPr="004E43B6" w:rsidRDefault="00930EAE" w:rsidP="005132DB">
      <w:pPr>
        <w:pStyle w:val="Heading2"/>
      </w:pPr>
      <w:r w:rsidRPr="004E43B6">
        <w:t>Auditor’s Independence declaration</w:t>
      </w:r>
    </w:p>
    <w:p w14:paraId="4E97C23E" w14:textId="7D060B5A" w:rsidR="00930EAE" w:rsidRPr="004E43B6" w:rsidRDefault="00930EAE" w:rsidP="00E71696">
      <w:r w:rsidRPr="004E43B6">
        <w:t>The auditor’s independence de</w:t>
      </w:r>
      <w:r w:rsidR="00B012DE">
        <w:t>claration is included on page 38</w:t>
      </w:r>
      <w:r w:rsidRPr="004E43B6">
        <w:t xml:space="preserve"> of the annual report.</w:t>
      </w:r>
    </w:p>
    <w:p w14:paraId="2F0398BF" w14:textId="77777777" w:rsidR="00930EAE" w:rsidRPr="004E43B6" w:rsidRDefault="00930EAE" w:rsidP="00E71696">
      <w:r>
        <w:t xml:space="preserve">On behalf of the </w:t>
      </w:r>
      <w:r w:rsidR="00F730E8">
        <w:t>d</w:t>
      </w:r>
      <w:r>
        <w:t>irectors</w:t>
      </w:r>
    </w:p>
    <w:p w14:paraId="38079128" w14:textId="77777777" w:rsidR="00930EAE" w:rsidRPr="004E43B6" w:rsidRDefault="00930EAE" w:rsidP="00E71696">
      <w:r>
        <w:rPr>
          <w:noProof/>
          <w:lang w:eastAsia="en-AU"/>
        </w:rPr>
        <w:drawing>
          <wp:inline distT="0" distB="0" distL="0" distR="0" wp14:anchorId="0DCFFC2D" wp14:editId="3C8169CB">
            <wp:extent cx="1836269" cy="1108953"/>
            <wp:effectExtent l="0" t="0" r="0" b="8890"/>
            <wp:docPr id="6" name="Picture 6" descr="Stephen H Wal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36371" cy="1109015"/>
                    </a:xfrm>
                    <a:prstGeom prst="rect">
                      <a:avLst/>
                    </a:prstGeom>
                    <a:noFill/>
                    <a:ln>
                      <a:noFill/>
                    </a:ln>
                  </pic:spPr>
                </pic:pic>
              </a:graphicData>
            </a:graphic>
          </wp:inline>
        </w:drawing>
      </w:r>
    </w:p>
    <w:p w14:paraId="15588719" w14:textId="77777777" w:rsidR="00930EAE" w:rsidRPr="00691D4B" w:rsidRDefault="00930EAE" w:rsidP="00E71696">
      <w:pPr>
        <w:rPr>
          <w:b/>
        </w:rPr>
      </w:pPr>
      <w:r w:rsidRPr="00691D4B">
        <w:rPr>
          <w:b/>
        </w:rPr>
        <w:t>Stephen H Wall</w:t>
      </w:r>
    </w:p>
    <w:p w14:paraId="00437C37" w14:textId="663EB5CE" w:rsidR="00930EAE" w:rsidRPr="004E43B6" w:rsidRDefault="00691D4B" w:rsidP="00E71696">
      <w:r w:rsidRPr="004E43B6">
        <w:t>Director</w:t>
      </w:r>
    </w:p>
    <w:p w14:paraId="3800EAF3" w14:textId="4AF21A2A" w:rsidR="000C5471" w:rsidRDefault="00930EAE" w:rsidP="00E71696">
      <w:r w:rsidRPr="004E43B6">
        <w:t xml:space="preserve">Dated this </w:t>
      </w:r>
      <w:r w:rsidR="00194F9F">
        <w:t>17</w:t>
      </w:r>
      <w:r w:rsidR="00194F9F" w:rsidRPr="00194F9F">
        <w:rPr>
          <w:vertAlign w:val="superscript"/>
        </w:rPr>
        <w:t>th</w:t>
      </w:r>
      <w:r w:rsidRPr="004E43B6">
        <w:t xml:space="preserve"> day of November 2016</w:t>
      </w:r>
      <w:r w:rsidR="000C5471">
        <w:br w:type="page"/>
      </w:r>
    </w:p>
    <w:p w14:paraId="16424320" w14:textId="7F6AEFE9" w:rsidR="00D2400B" w:rsidRPr="005132DB" w:rsidRDefault="00691D4B" w:rsidP="005132DB">
      <w:pPr>
        <w:pStyle w:val="Heading1"/>
        <w:rPr>
          <w:sz w:val="130"/>
          <w:szCs w:val="130"/>
        </w:rPr>
      </w:pPr>
      <w:bookmarkStart w:id="3" w:name="_Toc340406355"/>
      <w:r w:rsidRPr="005132DB">
        <w:rPr>
          <w:sz w:val="130"/>
          <w:szCs w:val="130"/>
        </w:rPr>
        <w:lastRenderedPageBreak/>
        <w:t>BALANCE SHEET</w:t>
      </w:r>
      <w:bookmarkEnd w:id="3"/>
    </w:p>
    <w:p w14:paraId="0715D222" w14:textId="77777777" w:rsidR="00D2400B" w:rsidRPr="00691D4B" w:rsidRDefault="009348B8" w:rsidP="00E71696">
      <w:pPr>
        <w:rPr>
          <w:rStyle w:val="Strong"/>
        </w:rPr>
      </w:pPr>
      <w:r w:rsidRPr="00691D4B">
        <w:rPr>
          <w:rStyle w:val="Strong"/>
        </w:rPr>
        <w:t xml:space="preserve">For the Year ended 30 June </w:t>
      </w:r>
      <w:r w:rsidR="00EF1D9F" w:rsidRPr="00691D4B">
        <w:rPr>
          <w:rStyle w:val="Strong"/>
        </w:rPr>
        <w:t>2016</w:t>
      </w:r>
    </w:p>
    <w:tbl>
      <w:tblPr>
        <w:tblStyle w:val="TableGrid"/>
        <w:tblW w:w="91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Balance sheet"/>
      </w:tblPr>
      <w:tblGrid>
        <w:gridCol w:w="3712"/>
        <w:gridCol w:w="1627"/>
        <w:gridCol w:w="2071"/>
        <w:gridCol w:w="1775"/>
      </w:tblGrid>
      <w:tr w:rsidR="00D2400B" w:rsidRPr="00985BEA" w14:paraId="185148E8" w14:textId="77777777" w:rsidTr="009348B8">
        <w:trPr>
          <w:cnfStyle w:val="100000000000" w:firstRow="1" w:lastRow="0" w:firstColumn="0" w:lastColumn="0" w:oddVBand="0" w:evenVBand="0" w:oddHBand="0" w:evenHBand="0" w:firstRowFirstColumn="0" w:firstRowLastColumn="0" w:lastRowFirstColumn="0" w:lastRowLastColumn="0"/>
          <w:cantSplit/>
          <w:tblHeader/>
          <w:jc w:val="center"/>
        </w:trPr>
        <w:tc>
          <w:tcPr>
            <w:tcW w:w="3712" w:type="dxa"/>
          </w:tcPr>
          <w:p w14:paraId="6B2B1BF8" w14:textId="77777777" w:rsidR="00D2400B" w:rsidRPr="00985BEA" w:rsidRDefault="00ED4ED0" w:rsidP="00E71696">
            <w:r>
              <w:t>Item</w:t>
            </w:r>
          </w:p>
        </w:tc>
        <w:tc>
          <w:tcPr>
            <w:tcW w:w="1627" w:type="dxa"/>
          </w:tcPr>
          <w:p w14:paraId="6FDCED15" w14:textId="77777777" w:rsidR="00D2400B" w:rsidRPr="00985BEA" w:rsidRDefault="00D2400B" w:rsidP="00E71696">
            <w:r w:rsidRPr="00985BEA">
              <w:t>Note</w:t>
            </w:r>
          </w:p>
        </w:tc>
        <w:tc>
          <w:tcPr>
            <w:tcW w:w="2071" w:type="dxa"/>
          </w:tcPr>
          <w:p w14:paraId="09801F5D" w14:textId="77777777" w:rsidR="00D2400B" w:rsidRPr="00985BEA" w:rsidRDefault="00EF1D9F" w:rsidP="00E71696">
            <w:r>
              <w:t>2016</w:t>
            </w:r>
            <w:r w:rsidR="00ED4ED0">
              <w:br/>
              <w:t>$</w:t>
            </w:r>
          </w:p>
        </w:tc>
        <w:tc>
          <w:tcPr>
            <w:tcW w:w="1775" w:type="dxa"/>
          </w:tcPr>
          <w:p w14:paraId="133FF972" w14:textId="77777777" w:rsidR="00D2400B" w:rsidRPr="00985BEA" w:rsidRDefault="00EF1D9F" w:rsidP="00E71696">
            <w:r>
              <w:t>2015</w:t>
            </w:r>
            <w:r w:rsidR="00ED4ED0">
              <w:br/>
              <w:t>$</w:t>
            </w:r>
          </w:p>
        </w:tc>
      </w:tr>
      <w:tr w:rsidR="00D2400B" w:rsidRPr="004809AF" w14:paraId="136DE88C" w14:textId="77777777" w:rsidTr="009348B8">
        <w:trPr>
          <w:cantSplit/>
          <w:jc w:val="center"/>
        </w:trPr>
        <w:tc>
          <w:tcPr>
            <w:tcW w:w="3712" w:type="dxa"/>
          </w:tcPr>
          <w:p w14:paraId="0166B27E" w14:textId="77777777" w:rsidR="00D2400B" w:rsidRPr="0044141E" w:rsidRDefault="00D2400B" w:rsidP="00E71696">
            <w:r w:rsidRPr="0044141E">
              <w:t>Current Assets</w:t>
            </w:r>
          </w:p>
        </w:tc>
        <w:tc>
          <w:tcPr>
            <w:tcW w:w="1627" w:type="dxa"/>
          </w:tcPr>
          <w:p w14:paraId="5BDA46D1" w14:textId="77777777" w:rsidR="00D2400B" w:rsidRPr="004809AF" w:rsidRDefault="00D2400B" w:rsidP="00E71696"/>
        </w:tc>
        <w:tc>
          <w:tcPr>
            <w:tcW w:w="2071" w:type="dxa"/>
          </w:tcPr>
          <w:p w14:paraId="5FDB9EDC" w14:textId="77777777" w:rsidR="00D2400B" w:rsidRPr="004439B2" w:rsidRDefault="00D2400B" w:rsidP="00E71696"/>
        </w:tc>
        <w:tc>
          <w:tcPr>
            <w:tcW w:w="1775" w:type="dxa"/>
          </w:tcPr>
          <w:p w14:paraId="076A488C" w14:textId="77777777" w:rsidR="00D2400B" w:rsidRPr="004809AF" w:rsidRDefault="00D2400B" w:rsidP="00E71696"/>
        </w:tc>
      </w:tr>
      <w:tr w:rsidR="009348B8" w:rsidRPr="004809AF" w14:paraId="40FAECC2" w14:textId="77777777" w:rsidTr="009348B8">
        <w:trPr>
          <w:cantSplit/>
          <w:jc w:val="center"/>
        </w:trPr>
        <w:tc>
          <w:tcPr>
            <w:tcW w:w="3712" w:type="dxa"/>
          </w:tcPr>
          <w:p w14:paraId="7A7EF37C" w14:textId="77777777" w:rsidR="009348B8" w:rsidRPr="004809AF" w:rsidRDefault="009348B8" w:rsidP="00E71696">
            <w:r w:rsidRPr="004809AF">
              <w:t>Cash and Cash Equivalents</w:t>
            </w:r>
          </w:p>
        </w:tc>
        <w:tc>
          <w:tcPr>
            <w:tcW w:w="1627" w:type="dxa"/>
          </w:tcPr>
          <w:p w14:paraId="734FD7D3" w14:textId="77777777" w:rsidR="009348B8" w:rsidRPr="004809AF" w:rsidRDefault="009348B8" w:rsidP="00E71696">
            <w:r w:rsidRPr="004809AF">
              <w:t>6</w:t>
            </w:r>
          </w:p>
        </w:tc>
        <w:tc>
          <w:tcPr>
            <w:tcW w:w="2071" w:type="dxa"/>
          </w:tcPr>
          <w:p w14:paraId="5917BC8D" w14:textId="77777777" w:rsidR="009348B8" w:rsidRPr="00C45222" w:rsidRDefault="004439B2" w:rsidP="00E71696">
            <w:pPr>
              <w:rPr>
                <w:highlight w:val="yellow"/>
              </w:rPr>
            </w:pPr>
            <w:r w:rsidRPr="004439B2">
              <w:t>1,037,908</w:t>
            </w:r>
          </w:p>
        </w:tc>
        <w:tc>
          <w:tcPr>
            <w:tcW w:w="1775" w:type="dxa"/>
          </w:tcPr>
          <w:p w14:paraId="7EA953A5" w14:textId="77777777" w:rsidR="009348B8" w:rsidRPr="00830AA5" w:rsidRDefault="00EF1D9F" w:rsidP="00E71696">
            <w:r w:rsidRPr="00830AA5">
              <w:t>1,076,624</w:t>
            </w:r>
          </w:p>
        </w:tc>
      </w:tr>
      <w:tr w:rsidR="009348B8" w:rsidRPr="004809AF" w14:paraId="6ED49546" w14:textId="77777777" w:rsidTr="009348B8">
        <w:trPr>
          <w:cantSplit/>
          <w:jc w:val="center"/>
        </w:trPr>
        <w:tc>
          <w:tcPr>
            <w:tcW w:w="3712" w:type="dxa"/>
          </w:tcPr>
          <w:p w14:paraId="7559A637" w14:textId="77777777" w:rsidR="009348B8" w:rsidRPr="004809AF" w:rsidRDefault="009348B8" w:rsidP="00E71696">
            <w:r w:rsidRPr="004809AF">
              <w:t>Trade and Other Receivables</w:t>
            </w:r>
          </w:p>
        </w:tc>
        <w:tc>
          <w:tcPr>
            <w:tcW w:w="1627" w:type="dxa"/>
          </w:tcPr>
          <w:p w14:paraId="0B4A80B9" w14:textId="77777777" w:rsidR="009348B8" w:rsidRPr="004809AF" w:rsidRDefault="009348B8" w:rsidP="00E71696">
            <w:r w:rsidRPr="004809AF">
              <w:t>7</w:t>
            </w:r>
          </w:p>
        </w:tc>
        <w:tc>
          <w:tcPr>
            <w:tcW w:w="2071" w:type="dxa"/>
          </w:tcPr>
          <w:p w14:paraId="4438ECAF" w14:textId="77777777" w:rsidR="009348B8" w:rsidRPr="00830AA5" w:rsidRDefault="004439B2" w:rsidP="00E71696">
            <w:r>
              <w:t>324,259</w:t>
            </w:r>
          </w:p>
        </w:tc>
        <w:tc>
          <w:tcPr>
            <w:tcW w:w="1775" w:type="dxa"/>
          </w:tcPr>
          <w:p w14:paraId="56DCC73F" w14:textId="77777777" w:rsidR="009348B8" w:rsidRPr="00830AA5" w:rsidRDefault="00EF1D9F" w:rsidP="00E71696">
            <w:r w:rsidRPr="00830AA5">
              <w:t>156,658</w:t>
            </w:r>
          </w:p>
        </w:tc>
      </w:tr>
      <w:tr w:rsidR="009348B8" w:rsidRPr="004809AF" w14:paraId="506C02A7" w14:textId="77777777" w:rsidTr="009348B8">
        <w:trPr>
          <w:cantSplit/>
          <w:jc w:val="center"/>
        </w:trPr>
        <w:tc>
          <w:tcPr>
            <w:tcW w:w="3712" w:type="dxa"/>
          </w:tcPr>
          <w:p w14:paraId="6C6F9304" w14:textId="77777777" w:rsidR="009348B8" w:rsidRPr="004809AF" w:rsidRDefault="009348B8" w:rsidP="00E71696">
            <w:r w:rsidRPr="004809AF">
              <w:t>Financial Assets</w:t>
            </w:r>
          </w:p>
        </w:tc>
        <w:tc>
          <w:tcPr>
            <w:tcW w:w="1627" w:type="dxa"/>
          </w:tcPr>
          <w:p w14:paraId="0F67F292" w14:textId="77777777" w:rsidR="009348B8" w:rsidRPr="004809AF" w:rsidRDefault="009348B8" w:rsidP="00E71696">
            <w:r w:rsidRPr="004809AF">
              <w:t>8</w:t>
            </w:r>
          </w:p>
        </w:tc>
        <w:tc>
          <w:tcPr>
            <w:tcW w:w="2071" w:type="dxa"/>
          </w:tcPr>
          <w:p w14:paraId="21D19718" w14:textId="77777777" w:rsidR="004D1DF5" w:rsidRPr="00830AA5" w:rsidRDefault="004439B2" w:rsidP="00E71696">
            <w:r>
              <w:t>3,690,706</w:t>
            </w:r>
          </w:p>
        </w:tc>
        <w:tc>
          <w:tcPr>
            <w:tcW w:w="1775" w:type="dxa"/>
          </w:tcPr>
          <w:p w14:paraId="009E3536" w14:textId="77777777" w:rsidR="009348B8" w:rsidRPr="00830AA5" w:rsidRDefault="00EF1D9F" w:rsidP="00E71696">
            <w:r w:rsidRPr="00830AA5">
              <w:t>4,618,790</w:t>
            </w:r>
          </w:p>
        </w:tc>
      </w:tr>
      <w:tr w:rsidR="009348B8" w:rsidRPr="004809AF" w14:paraId="50DEA7E8" w14:textId="77777777" w:rsidTr="009348B8">
        <w:trPr>
          <w:cantSplit/>
          <w:jc w:val="center"/>
        </w:trPr>
        <w:tc>
          <w:tcPr>
            <w:tcW w:w="3712" w:type="dxa"/>
          </w:tcPr>
          <w:p w14:paraId="5AAE96AF" w14:textId="77777777" w:rsidR="009348B8" w:rsidRPr="004809AF" w:rsidRDefault="009348B8" w:rsidP="00E71696">
            <w:r w:rsidRPr="004809AF">
              <w:t>Other Current Assets</w:t>
            </w:r>
          </w:p>
        </w:tc>
        <w:tc>
          <w:tcPr>
            <w:tcW w:w="1627" w:type="dxa"/>
          </w:tcPr>
          <w:p w14:paraId="76D7B0F4" w14:textId="77777777" w:rsidR="009348B8" w:rsidRPr="004809AF" w:rsidRDefault="009348B8" w:rsidP="00E71696"/>
        </w:tc>
        <w:tc>
          <w:tcPr>
            <w:tcW w:w="2071" w:type="dxa"/>
            <w:tcBorders>
              <w:bottom w:val="single" w:sz="4" w:space="0" w:color="auto"/>
            </w:tcBorders>
          </w:tcPr>
          <w:p w14:paraId="4BAC8ABC" w14:textId="77777777" w:rsidR="009348B8" w:rsidRPr="00830AA5" w:rsidRDefault="004439B2" w:rsidP="00E71696">
            <w:r>
              <w:t>21,055</w:t>
            </w:r>
          </w:p>
        </w:tc>
        <w:tc>
          <w:tcPr>
            <w:tcW w:w="1775" w:type="dxa"/>
            <w:tcBorders>
              <w:bottom w:val="single" w:sz="4" w:space="0" w:color="auto"/>
            </w:tcBorders>
          </w:tcPr>
          <w:p w14:paraId="35531F25" w14:textId="77777777" w:rsidR="009348B8" w:rsidRPr="00830AA5" w:rsidRDefault="00EF1D9F" w:rsidP="00E71696">
            <w:r w:rsidRPr="00830AA5">
              <w:t>200</w:t>
            </w:r>
          </w:p>
        </w:tc>
      </w:tr>
      <w:tr w:rsidR="009348B8" w:rsidRPr="004809AF" w14:paraId="7E035120" w14:textId="77777777" w:rsidTr="009348B8">
        <w:trPr>
          <w:cantSplit/>
          <w:jc w:val="center"/>
        </w:trPr>
        <w:tc>
          <w:tcPr>
            <w:tcW w:w="3712" w:type="dxa"/>
          </w:tcPr>
          <w:p w14:paraId="08DC447A" w14:textId="77777777" w:rsidR="009348B8" w:rsidRPr="0044141E" w:rsidRDefault="009348B8" w:rsidP="00E71696">
            <w:r w:rsidRPr="0044141E">
              <w:t>Total Current Assets</w:t>
            </w:r>
          </w:p>
        </w:tc>
        <w:tc>
          <w:tcPr>
            <w:tcW w:w="1627" w:type="dxa"/>
          </w:tcPr>
          <w:p w14:paraId="053BC3F5" w14:textId="77777777" w:rsidR="009348B8" w:rsidRPr="004809AF" w:rsidRDefault="009348B8" w:rsidP="00E71696"/>
        </w:tc>
        <w:tc>
          <w:tcPr>
            <w:tcW w:w="2071" w:type="dxa"/>
            <w:tcBorders>
              <w:top w:val="single" w:sz="4" w:space="0" w:color="auto"/>
            </w:tcBorders>
          </w:tcPr>
          <w:p w14:paraId="60D933FE" w14:textId="77777777" w:rsidR="009348B8" w:rsidRPr="00830AA5" w:rsidRDefault="004439B2" w:rsidP="00E71696">
            <w:r>
              <w:t>5,073,928</w:t>
            </w:r>
          </w:p>
        </w:tc>
        <w:tc>
          <w:tcPr>
            <w:tcW w:w="1775" w:type="dxa"/>
            <w:tcBorders>
              <w:top w:val="single" w:sz="4" w:space="0" w:color="auto"/>
            </w:tcBorders>
          </w:tcPr>
          <w:p w14:paraId="07AC74A3" w14:textId="77777777" w:rsidR="009348B8" w:rsidRPr="00830AA5" w:rsidRDefault="00EF1D9F" w:rsidP="00E71696">
            <w:r w:rsidRPr="00830AA5">
              <w:t>5,852,272</w:t>
            </w:r>
          </w:p>
        </w:tc>
      </w:tr>
      <w:tr w:rsidR="009348B8" w:rsidRPr="004809AF" w14:paraId="0071EB57" w14:textId="77777777" w:rsidTr="009348B8">
        <w:trPr>
          <w:cantSplit/>
          <w:jc w:val="center"/>
        </w:trPr>
        <w:tc>
          <w:tcPr>
            <w:tcW w:w="3712" w:type="dxa"/>
          </w:tcPr>
          <w:p w14:paraId="604C3681" w14:textId="77777777" w:rsidR="009348B8" w:rsidRPr="0044141E" w:rsidRDefault="009348B8" w:rsidP="00E71696">
            <w:r w:rsidRPr="0044141E">
              <w:t>Non-Current Assets</w:t>
            </w:r>
          </w:p>
        </w:tc>
        <w:tc>
          <w:tcPr>
            <w:tcW w:w="1627" w:type="dxa"/>
          </w:tcPr>
          <w:p w14:paraId="66D3D2B2" w14:textId="77777777" w:rsidR="009348B8" w:rsidRPr="004809AF" w:rsidRDefault="009348B8" w:rsidP="00E71696"/>
        </w:tc>
        <w:tc>
          <w:tcPr>
            <w:tcW w:w="2071" w:type="dxa"/>
          </w:tcPr>
          <w:p w14:paraId="6746DCB7" w14:textId="77777777" w:rsidR="009348B8" w:rsidRPr="00830AA5" w:rsidRDefault="009348B8" w:rsidP="00E71696"/>
        </w:tc>
        <w:tc>
          <w:tcPr>
            <w:tcW w:w="1775" w:type="dxa"/>
          </w:tcPr>
          <w:p w14:paraId="248E4175" w14:textId="77777777" w:rsidR="009348B8" w:rsidRPr="00830AA5" w:rsidRDefault="009348B8" w:rsidP="00E71696"/>
        </w:tc>
      </w:tr>
      <w:tr w:rsidR="009348B8" w:rsidRPr="004809AF" w14:paraId="00CAAFAD" w14:textId="77777777" w:rsidTr="009348B8">
        <w:trPr>
          <w:cantSplit/>
          <w:jc w:val="center"/>
        </w:trPr>
        <w:tc>
          <w:tcPr>
            <w:tcW w:w="3712" w:type="dxa"/>
          </w:tcPr>
          <w:p w14:paraId="2D5E272C" w14:textId="77777777" w:rsidR="009348B8" w:rsidRPr="003E2E18" w:rsidRDefault="009348B8" w:rsidP="00E71696">
            <w:r w:rsidRPr="003E2E18">
              <w:t>Property, Plant and Equipment</w:t>
            </w:r>
          </w:p>
        </w:tc>
        <w:tc>
          <w:tcPr>
            <w:tcW w:w="1627" w:type="dxa"/>
          </w:tcPr>
          <w:p w14:paraId="1011902A" w14:textId="77777777" w:rsidR="009348B8" w:rsidRPr="003E2E18" w:rsidRDefault="009348B8" w:rsidP="00E71696">
            <w:r w:rsidRPr="003E2E18">
              <w:t>9</w:t>
            </w:r>
          </w:p>
        </w:tc>
        <w:tc>
          <w:tcPr>
            <w:tcW w:w="2071" w:type="dxa"/>
          </w:tcPr>
          <w:p w14:paraId="0CD45DAF" w14:textId="77777777" w:rsidR="009348B8" w:rsidRPr="003E2E18" w:rsidRDefault="004439B2" w:rsidP="00E71696">
            <w:pPr>
              <w:rPr>
                <w:color w:val="000000"/>
              </w:rPr>
            </w:pPr>
            <w:r>
              <w:t>10,307</w:t>
            </w:r>
          </w:p>
        </w:tc>
        <w:tc>
          <w:tcPr>
            <w:tcW w:w="1775" w:type="dxa"/>
          </w:tcPr>
          <w:p w14:paraId="4A1ACA2B" w14:textId="77777777" w:rsidR="009348B8" w:rsidRPr="003E2E18" w:rsidRDefault="00A91877" w:rsidP="00E71696">
            <w:pPr>
              <w:rPr>
                <w:color w:val="000000"/>
              </w:rPr>
            </w:pPr>
            <w:r w:rsidRPr="003E2E18">
              <w:t>24,169</w:t>
            </w:r>
          </w:p>
        </w:tc>
      </w:tr>
      <w:tr w:rsidR="009348B8" w:rsidRPr="004809AF" w14:paraId="6C5071B9" w14:textId="77777777" w:rsidTr="009348B8">
        <w:trPr>
          <w:cantSplit/>
          <w:jc w:val="center"/>
        </w:trPr>
        <w:tc>
          <w:tcPr>
            <w:tcW w:w="3712" w:type="dxa"/>
          </w:tcPr>
          <w:p w14:paraId="7AC225C2" w14:textId="77777777" w:rsidR="009348B8" w:rsidRPr="003E2E18" w:rsidRDefault="009348B8" w:rsidP="00E71696">
            <w:r w:rsidRPr="003E2E18">
              <w:t>Total Non-Current Assets</w:t>
            </w:r>
          </w:p>
        </w:tc>
        <w:tc>
          <w:tcPr>
            <w:tcW w:w="1627" w:type="dxa"/>
          </w:tcPr>
          <w:p w14:paraId="052F803D" w14:textId="77777777" w:rsidR="009348B8" w:rsidRPr="003E2E18" w:rsidRDefault="009348B8" w:rsidP="00E71696"/>
        </w:tc>
        <w:tc>
          <w:tcPr>
            <w:tcW w:w="2071" w:type="dxa"/>
          </w:tcPr>
          <w:p w14:paraId="0A574D73" w14:textId="77777777" w:rsidR="009348B8" w:rsidRPr="003E2E18" w:rsidRDefault="004439B2" w:rsidP="00E71696">
            <w:r>
              <w:t>10,307</w:t>
            </w:r>
          </w:p>
        </w:tc>
        <w:tc>
          <w:tcPr>
            <w:tcW w:w="1775" w:type="dxa"/>
          </w:tcPr>
          <w:p w14:paraId="5242EB79" w14:textId="77777777" w:rsidR="009348B8" w:rsidRPr="003E2E18" w:rsidRDefault="00A91877" w:rsidP="00E71696">
            <w:r w:rsidRPr="003E2E18">
              <w:t>24,169</w:t>
            </w:r>
          </w:p>
        </w:tc>
      </w:tr>
      <w:tr w:rsidR="009348B8" w:rsidRPr="004809AF" w14:paraId="3351CD3C" w14:textId="77777777" w:rsidTr="009348B8">
        <w:trPr>
          <w:cantSplit/>
          <w:jc w:val="center"/>
        </w:trPr>
        <w:tc>
          <w:tcPr>
            <w:tcW w:w="3712" w:type="dxa"/>
          </w:tcPr>
          <w:p w14:paraId="6527AE35" w14:textId="77777777" w:rsidR="009348B8" w:rsidRPr="003E2E18" w:rsidRDefault="009348B8" w:rsidP="00E71696">
            <w:r w:rsidRPr="003E2E18">
              <w:t>Total Assets</w:t>
            </w:r>
          </w:p>
        </w:tc>
        <w:tc>
          <w:tcPr>
            <w:tcW w:w="1627" w:type="dxa"/>
          </w:tcPr>
          <w:p w14:paraId="3E530597" w14:textId="77777777" w:rsidR="009348B8" w:rsidRPr="003E2E18" w:rsidRDefault="009348B8" w:rsidP="00E71696"/>
        </w:tc>
        <w:tc>
          <w:tcPr>
            <w:tcW w:w="2071" w:type="dxa"/>
            <w:tcBorders>
              <w:top w:val="single" w:sz="4" w:space="0" w:color="auto"/>
              <w:bottom w:val="single" w:sz="4" w:space="0" w:color="auto"/>
            </w:tcBorders>
          </w:tcPr>
          <w:p w14:paraId="120A3FA2" w14:textId="77777777" w:rsidR="009348B8" w:rsidRPr="003E2E18" w:rsidRDefault="004439B2" w:rsidP="00E71696">
            <w:r>
              <w:t>5,084,235</w:t>
            </w:r>
          </w:p>
        </w:tc>
        <w:tc>
          <w:tcPr>
            <w:tcW w:w="1775" w:type="dxa"/>
            <w:tcBorders>
              <w:top w:val="single" w:sz="4" w:space="0" w:color="auto"/>
              <w:bottom w:val="single" w:sz="4" w:space="0" w:color="auto"/>
            </w:tcBorders>
          </w:tcPr>
          <w:p w14:paraId="2E37F229" w14:textId="77777777" w:rsidR="009348B8" w:rsidRPr="003E2E18" w:rsidRDefault="00A91877" w:rsidP="00E71696">
            <w:pPr>
              <w:rPr>
                <w:u w:val="single"/>
              </w:rPr>
            </w:pPr>
            <w:r w:rsidRPr="003E2E18">
              <w:t>5,876,441</w:t>
            </w:r>
          </w:p>
        </w:tc>
      </w:tr>
      <w:tr w:rsidR="009348B8" w:rsidRPr="003E2E18" w14:paraId="28489064" w14:textId="77777777" w:rsidTr="009348B8">
        <w:trPr>
          <w:cantSplit/>
          <w:jc w:val="center"/>
        </w:trPr>
        <w:tc>
          <w:tcPr>
            <w:tcW w:w="3712" w:type="dxa"/>
          </w:tcPr>
          <w:p w14:paraId="643B556E" w14:textId="77777777" w:rsidR="009348B8" w:rsidRPr="003E2E18" w:rsidRDefault="009348B8" w:rsidP="00E71696">
            <w:r w:rsidRPr="003E2E18">
              <w:t>Current Liabilities</w:t>
            </w:r>
          </w:p>
        </w:tc>
        <w:tc>
          <w:tcPr>
            <w:tcW w:w="1627" w:type="dxa"/>
          </w:tcPr>
          <w:p w14:paraId="5349469C" w14:textId="77777777" w:rsidR="009348B8" w:rsidRPr="003E2E18" w:rsidRDefault="009348B8" w:rsidP="00E71696"/>
        </w:tc>
        <w:tc>
          <w:tcPr>
            <w:tcW w:w="2071" w:type="dxa"/>
          </w:tcPr>
          <w:p w14:paraId="3D26ACDB" w14:textId="77777777" w:rsidR="009348B8" w:rsidRPr="003E2E18" w:rsidRDefault="009348B8" w:rsidP="00E71696"/>
        </w:tc>
        <w:tc>
          <w:tcPr>
            <w:tcW w:w="1775" w:type="dxa"/>
          </w:tcPr>
          <w:p w14:paraId="0FC233C4" w14:textId="77777777" w:rsidR="009348B8" w:rsidRPr="003E2E18" w:rsidRDefault="009348B8" w:rsidP="00E71696"/>
        </w:tc>
      </w:tr>
      <w:tr w:rsidR="009348B8" w:rsidRPr="003E2E18" w14:paraId="0D9C12FE" w14:textId="77777777" w:rsidTr="009348B8">
        <w:trPr>
          <w:cantSplit/>
          <w:jc w:val="center"/>
        </w:trPr>
        <w:tc>
          <w:tcPr>
            <w:tcW w:w="3712" w:type="dxa"/>
          </w:tcPr>
          <w:p w14:paraId="02D809EC" w14:textId="77777777" w:rsidR="009348B8" w:rsidRPr="003E2E18" w:rsidRDefault="009348B8" w:rsidP="00E71696">
            <w:r w:rsidRPr="003E2E18">
              <w:t>Trade and Other Payables</w:t>
            </w:r>
          </w:p>
        </w:tc>
        <w:tc>
          <w:tcPr>
            <w:tcW w:w="1627" w:type="dxa"/>
          </w:tcPr>
          <w:p w14:paraId="3501620D" w14:textId="77777777" w:rsidR="009348B8" w:rsidRPr="003E2E18" w:rsidRDefault="009348B8" w:rsidP="00E71696">
            <w:r w:rsidRPr="003E2E18">
              <w:t>10</w:t>
            </w:r>
          </w:p>
        </w:tc>
        <w:tc>
          <w:tcPr>
            <w:tcW w:w="2071" w:type="dxa"/>
          </w:tcPr>
          <w:p w14:paraId="111B52DC" w14:textId="77777777" w:rsidR="009348B8" w:rsidRPr="003E2E18" w:rsidRDefault="0059708E" w:rsidP="00E71696">
            <w:r>
              <w:t>248,555</w:t>
            </w:r>
          </w:p>
        </w:tc>
        <w:tc>
          <w:tcPr>
            <w:tcW w:w="1775" w:type="dxa"/>
          </w:tcPr>
          <w:p w14:paraId="60468D00" w14:textId="77777777" w:rsidR="009348B8" w:rsidRPr="003E2E18" w:rsidRDefault="00A91877" w:rsidP="00E71696">
            <w:r w:rsidRPr="003E2E18">
              <w:t>143,152</w:t>
            </w:r>
          </w:p>
        </w:tc>
      </w:tr>
      <w:tr w:rsidR="00380101" w:rsidRPr="004809AF" w14:paraId="0A9DCFDD" w14:textId="77777777" w:rsidTr="009348B8">
        <w:trPr>
          <w:cantSplit/>
          <w:jc w:val="center"/>
        </w:trPr>
        <w:tc>
          <w:tcPr>
            <w:tcW w:w="3712" w:type="dxa"/>
          </w:tcPr>
          <w:p w14:paraId="37915385" w14:textId="77777777" w:rsidR="00380101" w:rsidRPr="003E2E18" w:rsidRDefault="00380101" w:rsidP="00E71696">
            <w:r w:rsidRPr="003E2E18">
              <w:t>Employee Benefits</w:t>
            </w:r>
          </w:p>
        </w:tc>
        <w:tc>
          <w:tcPr>
            <w:tcW w:w="1627" w:type="dxa"/>
          </w:tcPr>
          <w:p w14:paraId="5D3DE676" w14:textId="77777777" w:rsidR="00380101" w:rsidRPr="003E2E18" w:rsidRDefault="00380101" w:rsidP="00E71696">
            <w:r w:rsidRPr="003E2E18">
              <w:t>11</w:t>
            </w:r>
          </w:p>
        </w:tc>
        <w:tc>
          <w:tcPr>
            <w:tcW w:w="2071" w:type="dxa"/>
            <w:tcBorders>
              <w:bottom w:val="single" w:sz="4" w:space="0" w:color="auto"/>
            </w:tcBorders>
          </w:tcPr>
          <w:p w14:paraId="2ABF3235" w14:textId="77777777" w:rsidR="00380101" w:rsidRPr="003E2E18" w:rsidRDefault="004439B2" w:rsidP="00E71696">
            <w:r>
              <w:t>46,196</w:t>
            </w:r>
          </w:p>
        </w:tc>
        <w:tc>
          <w:tcPr>
            <w:tcW w:w="1775" w:type="dxa"/>
            <w:tcBorders>
              <w:bottom w:val="single" w:sz="4" w:space="0" w:color="auto"/>
            </w:tcBorders>
          </w:tcPr>
          <w:p w14:paraId="03F5DFF8" w14:textId="77777777" w:rsidR="00380101" w:rsidRPr="003E2E18" w:rsidRDefault="00A91877" w:rsidP="00E71696">
            <w:r w:rsidRPr="003E2E18">
              <w:t>66,470</w:t>
            </w:r>
          </w:p>
        </w:tc>
      </w:tr>
      <w:tr w:rsidR="00380101" w:rsidRPr="004809AF" w14:paraId="4697CC08" w14:textId="77777777" w:rsidTr="009348B8">
        <w:trPr>
          <w:cantSplit/>
          <w:jc w:val="center"/>
        </w:trPr>
        <w:tc>
          <w:tcPr>
            <w:tcW w:w="3712" w:type="dxa"/>
          </w:tcPr>
          <w:p w14:paraId="633C0F8C" w14:textId="77777777" w:rsidR="00380101" w:rsidRPr="003E2E18" w:rsidRDefault="00380101" w:rsidP="00E71696">
            <w:r w:rsidRPr="003E2E18">
              <w:t>Total Current Liabilities</w:t>
            </w:r>
          </w:p>
        </w:tc>
        <w:tc>
          <w:tcPr>
            <w:tcW w:w="1627" w:type="dxa"/>
          </w:tcPr>
          <w:p w14:paraId="122D6BE4" w14:textId="77777777" w:rsidR="00380101" w:rsidRPr="003E2E18" w:rsidRDefault="00380101" w:rsidP="00E71696"/>
        </w:tc>
        <w:tc>
          <w:tcPr>
            <w:tcW w:w="2071" w:type="dxa"/>
            <w:tcBorders>
              <w:top w:val="single" w:sz="4" w:space="0" w:color="auto"/>
            </w:tcBorders>
          </w:tcPr>
          <w:p w14:paraId="7390D13B" w14:textId="77777777" w:rsidR="00380101" w:rsidRPr="003E2E18" w:rsidRDefault="000D73AD" w:rsidP="00E71696">
            <w:r>
              <w:t>294,751</w:t>
            </w:r>
          </w:p>
        </w:tc>
        <w:tc>
          <w:tcPr>
            <w:tcW w:w="1775" w:type="dxa"/>
            <w:tcBorders>
              <w:top w:val="single" w:sz="4" w:space="0" w:color="auto"/>
            </w:tcBorders>
          </w:tcPr>
          <w:p w14:paraId="15B7C89C" w14:textId="77777777" w:rsidR="00380101" w:rsidRPr="003E2E18" w:rsidRDefault="00A91877" w:rsidP="00E71696">
            <w:r w:rsidRPr="003E2E18">
              <w:t>209,622</w:t>
            </w:r>
          </w:p>
        </w:tc>
      </w:tr>
      <w:tr w:rsidR="009348B8" w:rsidRPr="004809AF" w14:paraId="2284745A" w14:textId="77777777" w:rsidTr="009348B8">
        <w:trPr>
          <w:cantSplit/>
          <w:jc w:val="center"/>
        </w:trPr>
        <w:tc>
          <w:tcPr>
            <w:tcW w:w="3712" w:type="dxa"/>
          </w:tcPr>
          <w:p w14:paraId="487B340F" w14:textId="77777777" w:rsidR="009348B8" w:rsidRPr="0044141E" w:rsidRDefault="009348B8" w:rsidP="00E71696">
            <w:r w:rsidRPr="0044141E">
              <w:t>Non-Current Liabilities</w:t>
            </w:r>
          </w:p>
        </w:tc>
        <w:tc>
          <w:tcPr>
            <w:tcW w:w="1627" w:type="dxa"/>
          </w:tcPr>
          <w:p w14:paraId="39890588" w14:textId="77777777" w:rsidR="009348B8" w:rsidRPr="004809AF" w:rsidRDefault="009348B8" w:rsidP="00E71696"/>
        </w:tc>
        <w:tc>
          <w:tcPr>
            <w:tcW w:w="2071" w:type="dxa"/>
          </w:tcPr>
          <w:p w14:paraId="58A60354" w14:textId="77777777" w:rsidR="009348B8" w:rsidRPr="004809AF" w:rsidRDefault="009348B8" w:rsidP="00E71696"/>
        </w:tc>
        <w:tc>
          <w:tcPr>
            <w:tcW w:w="1775" w:type="dxa"/>
          </w:tcPr>
          <w:p w14:paraId="73DA8DF2" w14:textId="77777777" w:rsidR="009348B8" w:rsidRPr="004809AF" w:rsidRDefault="009348B8" w:rsidP="00E71696"/>
        </w:tc>
      </w:tr>
      <w:tr w:rsidR="00380101" w:rsidRPr="003E2E18" w14:paraId="3CCEEC77" w14:textId="77777777" w:rsidTr="009348B8">
        <w:trPr>
          <w:cantSplit/>
          <w:jc w:val="center"/>
        </w:trPr>
        <w:tc>
          <w:tcPr>
            <w:tcW w:w="3712" w:type="dxa"/>
          </w:tcPr>
          <w:p w14:paraId="4E7068DA" w14:textId="77777777" w:rsidR="00380101" w:rsidRPr="003E2E18" w:rsidRDefault="00380101" w:rsidP="00E71696">
            <w:r w:rsidRPr="003E2E18">
              <w:t>Employee Benefits</w:t>
            </w:r>
          </w:p>
        </w:tc>
        <w:tc>
          <w:tcPr>
            <w:tcW w:w="1627" w:type="dxa"/>
          </w:tcPr>
          <w:p w14:paraId="497349F6" w14:textId="77777777" w:rsidR="00380101" w:rsidRPr="003E2E18" w:rsidRDefault="00380101" w:rsidP="00E71696">
            <w:r w:rsidRPr="003E2E18">
              <w:t>11</w:t>
            </w:r>
          </w:p>
        </w:tc>
        <w:tc>
          <w:tcPr>
            <w:tcW w:w="2071" w:type="dxa"/>
            <w:tcBorders>
              <w:bottom w:val="single" w:sz="4" w:space="0" w:color="auto"/>
            </w:tcBorders>
          </w:tcPr>
          <w:p w14:paraId="66E9493E" w14:textId="77777777" w:rsidR="00380101" w:rsidRPr="003E2E18" w:rsidRDefault="004439B2" w:rsidP="00E71696">
            <w:r>
              <w:t>46,530</w:t>
            </w:r>
          </w:p>
        </w:tc>
        <w:tc>
          <w:tcPr>
            <w:tcW w:w="1775" w:type="dxa"/>
            <w:tcBorders>
              <w:bottom w:val="single" w:sz="4" w:space="0" w:color="auto"/>
            </w:tcBorders>
          </w:tcPr>
          <w:p w14:paraId="1EABB86D" w14:textId="77777777" w:rsidR="00380101" w:rsidRPr="003E2E18" w:rsidRDefault="00A91877" w:rsidP="00E71696">
            <w:r w:rsidRPr="003E2E18">
              <w:t>105,194</w:t>
            </w:r>
          </w:p>
        </w:tc>
      </w:tr>
      <w:tr w:rsidR="00380101" w:rsidRPr="004809AF" w14:paraId="60CE0160" w14:textId="77777777" w:rsidTr="009348B8">
        <w:trPr>
          <w:cantSplit/>
          <w:jc w:val="center"/>
        </w:trPr>
        <w:tc>
          <w:tcPr>
            <w:tcW w:w="3712" w:type="dxa"/>
          </w:tcPr>
          <w:p w14:paraId="695253EA" w14:textId="77777777" w:rsidR="00380101" w:rsidRPr="003E2E18" w:rsidRDefault="00380101" w:rsidP="00E71696">
            <w:r w:rsidRPr="003E2E18">
              <w:t>Total Non-Current Liabilities</w:t>
            </w:r>
          </w:p>
        </w:tc>
        <w:tc>
          <w:tcPr>
            <w:tcW w:w="1627" w:type="dxa"/>
          </w:tcPr>
          <w:p w14:paraId="166A2B2D" w14:textId="77777777" w:rsidR="00380101" w:rsidRPr="003E2E18" w:rsidRDefault="00380101" w:rsidP="00E71696"/>
        </w:tc>
        <w:tc>
          <w:tcPr>
            <w:tcW w:w="2071" w:type="dxa"/>
            <w:tcBorders>
              <w:top w:val="single" w:sz="4" w:space="0" w:color="auto"/>
            </w:tcBorders>
          </w:tcPr>
          <w:p w14:paraId="020717CC" w14:textId="77777777" w:rsidR="00380101" w:rsidRPr="003E2E18" w:rsidRDefault="004439B2" w:rsidP="00E71696">
            <w:r>
              <w:t>46,530</w:t>
            </w:r>
          </w:p>
        </w:tc>
        <w:tc>
          <w:tcPr>
            <w:tcW w:w="1775" w:type="dxa"/>
            <w:tcBorders>
              <w:top w:val="single" w:sz="4" w:space="0" w:color="auto"/>
            </w:tcBorders>
          </w:tcPr>
          <w:p w14:paraId="6528944C" w14:textId="77777777" w:rsidR="00380101" w:rsidRPr="003E2E18" w:rsidRDefault="00A91877" w:rsidP="00E71696">
            <w:r w:rsidRPr="003E2E18">
              <w:t>105,194</w:t>
            </w:r>
          </w:p>
        </w:tc>
      </w:tr>
      <w:tr w:rsidR="00380101" w:rsidRPr="003E2E18" w14:paraId="1EC9C3EC" w14:textId="77777777" w:rsidTr="009348B8">
        <w:trPr>
          <w:cantSplit/>
          <w:jc w:val="center"/>
        </w:trPr>
        <w:tc>
          <w:tcPr>
            <w:tcW w:w="3712" w:type="dxa"/>
          </w:tcPr>
          <w:p w14:paraId="5A17A195" w14:textId="77777777" w:rsidR="00380101" w:rsidRPr="003E2E18" w:rsidRDefault="00380101" w:rsidP="00E71696">
            <w:r w:rsidRPr="003E2E18">
              <w:t>Total Liabilities</w:t>
            </w:r>
          </w:p>
        </w:tc>
        <w:tc>
          <w:tcPr>
            <w:tcW w:w="1627" w:type="dxa"/>
          </w:tcPr>
          <w:p w14:paraId="579EA592" w14:textId="77777777" w:rsidR="00380101" w:rsidRPr="003E2E18" w:rsidRDefault="00380101" w:rsidP="00E71696"/>
        </w:tc>
        <w:tc>
          <w:tcPr>
            <w:tcW w:w="2071" w:type="dxa"/>
            <w:tcBorders>
              <w:top w:val="single" w:sz="4" w:space="0" w:color="auto"/>
              <w:bottom w:val="single" w:sz="4" w:space="0" w:color="auto"/>
            </w:tcBorders>
          </w:tcPr>
          <w:p w14:paraId="7C42C713" w14:textId="77777777" w:rsidR="00380101" w:rsidRPr="003E2E18" w:rsidRDefault="0059708E" w:rsidP="00E71696">
            <w:r>
              <w:t>341,281</w:t>
            </w:r>
          </w:p>
        </w:tc>
        <w:tc>
          <w:tcPr>
            <w:tcW w:w="1775" w:type="dxa"/>
            <w:tcBorders>
              <w:top w:val="single" w:sz="4" w:space="0" w:color="auto"/>
              <w:bottom w:val="single" w:sz="4" w:space="0" w:color="auto"/>
            </w:tcBorders>
          </w:tcPr>
          <w:p w14:paraId="28DC1977" w14:textId="77777777" w:rsidR="00380101" w:rsidRPr="003E2E18" w:rsidRDefault="00A91877" w:rsidP="00E71696">
            <w:r w:rsidRPr="003E2E18">
              <w:t>314,816</w:t>
            </w:r>
          </w:p>
        </w:tc>
      </w:tr>
      <w:tr w:rsidR="00380101" w:rsidRPr="004809AF" w14:paraId="4F932BEE" w14:textId="77777777" w:rsidTr="009348B8">
        <w:trPr>
          <w:cantSplit/>
          <w:jc w:val="center"/>
        </w:trPr>
        <w:tc>
          <w:tcPr>
            <w:tcW w:w="3712" w:type="dxa"/>
          </w:tcPr>
          <w:p w14:paraId="3D6DF878" w14:textId="77777777" w:rsidR="00380101" w:rsidRPr="003E2E18" w:rsidRDefault="00380101" w:rsidP="00E71696">
            <w:r w:rsidRPr="003E2E18">
              <w:t>Net Assets</w:t>
            </w:r>
          </w:p>
        </w:tc>
        <w:tc>
          <w:tcPr>
            <w:tcW w:w="1627" w:type="dxa"/>
          </w:tcPr>
          <w:p w14:paraId="3EE1F53A" w14:textId="77777777" w:rsidR="00380101" w:rsidRPr="003E2E18" w:rsidRDefault="00380101" w:rsidP="00E71696"/>
        </w:tc>
        <w:tc>
          <w:tcPr>
            <w:tcW w:w="2071" w:type="dxa"/>
            <w:tcBorders>
              <w:top w:val="single" w:sz="4" w:space="0" w:color="auto"/>
              <w:bottom w:val="double" w:sz="4" w:space="0" w:color="auto"/>
            </w:tcBorders>
          </w:tcPr>
          <w:p w14:paraId="7D897F8B" w14:textId="77777777" w:rsidR="00380101" w:rsidRPr="003E2E18" w:rsidRDefault="0059708E" w:rsidP="00E71696">
            <w:r>
              <w:t>4,742,954</w:t>
            </w:r>
          </w:p>
        </w:tc>
        <w:tc>
          <w:tcPr>
            <w:tcW w:w="1775" w:type="dxa"/>
            <w:tcBorders>
              <w:top w:val="single" w:sz="4" w:space="0" w:color="auto"/>
              <w:bottom w:val="double" w:sz="4" w:space="0" w:color="auto"/>
            </w:tcBorders>
          </w:tcPr>
          <w:p w14:paraId="1EEEF0A8" w14:textId="77777777" w:rsidR="00380101" w:rsidRPr="003E2E18" w:rsidRDefault="00A91877" w:rsidP="00E71696">
            <w:r w:rsidRPr="003E2E18">
              <w:t>5,561,625</w:t>
            </w:r>
          </w:p>
        </w:tc>
      </w:tr>
      <w:tr w:rsidR="009348B8" w:rsidRPr="004809AF" w14:paraId="45315D1D" w14:textId="77777777" w:rsidTr="009348B8">
        <w:trPr>
          <w:cantSplit/>
          <w:jc w:val="center"/>
        </w:trPr>
        <w:tc>
          <w:tcPr>
            <w:tcW w:w="3712" w:type="dxa"/>
          </w:tcPr>
          <w:p w14:paraId="5C092D90" w14:textId="77777777" w:rsidR="009348B8" w:rsidRPr="004809AF" w:rsidRDefault="009348B8" w:rsidP="00E71696">
            <w:r w:rsidRPr="0044141E">
              <w:t>Equity</w:t>
            </w:r>
          </w:p>
        </w:tc>
        <w:tc>
          <w:tcPr>
            <w:tcW w:w="1627" w:type="dxa"/>
          </w:tcPr>
          <w:p w14:paraId="6725E0ED" w14:textId="77777777" w:rsidR="009348B8" w:rsidRPr="004809AF" w:rsidRDefault="009348B8" w:rsidP="00E71696"/>
        </w:tc>
        <w:tc>
          <w:tcPr>
            <w:tcW w:w="2071" w:type="dxa"/>
          </w:tcPr>
          <w:p w14:paraId="3332C85A" w14:textId="77777777" w:rsidR="009348B8" w:rsidRPr="004809AF" w:rsidRDefault="009348B8" w:rsidP="00E71696"/>
        </w:tc>
        <w:tc>
          <w:tcPr>
            <w:tcW w:w="1775" w:type="dxa"/>
          </w:tcPr>
          <w:p w14:paraId="3E3CFFE2" w14:textId="77777777" w:rsidR="009348B8" w:rsidRPr="004809AF" w:rsidRDefault="009348B8" w:rsidP="00E71696"/>
        </w:tc>
      </w:tr>
      <w:tr w:rsidR="00380101" w:rsidRPr="003E2E18" w14:paraId="5F39B667" w14:textId="77777777" w:rsidTr="009348B8">
        <w:trPr>
          <w:cantSplit/>
          <w:jc w:val="center"/>
        </w:trPr>
        <w:tc>
          <w:tcPr>
            <w:tcW w:w="3712" w:type="dxa"/>
          </w:tcPr>
          <w:p w14:paraId="11CDFD7A" w14:textId="77777777" w:rsidR="00380101" w:rsidRPr="003E2E18" w:rsidRDefault="00380101" w:rsidP="00E71696">
            <w:r w:rsidRPr="003E2E18">
              <w:t>Reserves</w:t>
            </w:r>
          </w:p>
        </w:tc>
        <w:tc>
          <w:tcPr>
            <w:tcW w:w="1627" w:type="dxa"/>
          </w:tcPr>
          <w:p w14:paraId="2681DFED" w14:textId="77777777" w:rsidR="00380101" w:rsidRPr="003E2E18" w:rsidRDefault="00380101" w:rsidP="00E71696">
            <w:r w:rsidRPr="003E2E18">
              <w:t>12</w:t>
            </w:r>
          </w:p>
        </w:tc>
        <w:tc>
          <w:tcPr>
            <w:tcW w:w="2071" w:type="dxa"/>
          </w:tcPr>
          <w:p w14:paraId="5F786030" w14:textId="77777777" w:rsidR="00380101" w:rsidRPr="003E2E18" w:rsidRDefault="004439B2" w:rsidP="00E71696">
            <w:r>
              <w:t>448,100</w:t>
            </w:r>
          </w:p>
        </w:tc>
        <w:tc>
          <w:tcPr>
            <w:tcW w:w="1775" w:type="dxa"/>
          </w:tcPr>
          <w:p w14:paraId="280EEA28" w14:textId="77777777" w:rsidR="00380101" w:rsidRPr="003E2E18" w:rsidRDefault="00A91877" w:rsidP="00E71696">
            <w:r w:rsidRPr="003E2E18">
              <w:t>448,100</w:t>
            </w:r>
          </w:p>
        </w:tc>
      </w:tr>
      <w:tr w:rsidR="00380101" w:rsidRPr="003E2E18" w14:paraId="4E1D6FDD" w14:textId="77777777" w:rsidTr="009348B8">
        <w:trPr>
          <w:cantSplit/>
          <w:jc w:val="center"/>
        </w:trPr>
        <w:tc>
          <w:tcPr>
            <w:tcW w:w="3712" w:type="dxa"/>
          </w:tcPr>
          <w:p w14:paraId="44177E43" w14:textId="77777777" w:rsidR="00380101" w:rsidRPr="003E2E18" w:rsidRDefault="00380101" w:rsidP="00E71696">
            <w:r w:rsidRPr="003E2E18">
              <w:t>Retained Profits</w:t>
            </w:r>
          </w:p>
        </w:tc>
        <w:tc>
          <w:tcPr>
            <w:tcW w:w="1627" w:type="dxa"/>
          </w:tcPr>
          <w:p w14:paraId="545398F2" w14:textId="77777777" w:rsidR="00380101" w:rsidRPr="003E2E18" w:rsidRDefault="00380101" w:rsidP="00E71696">
            <w:r w:rsidRPr="003E2E18">
              <w:t>13</w:t>
            </w:r>
          </w:p>
        </w:tc>
        <w:tc>
          <w:tcPr>
            <w:tcW w:w="2071" w:type="dxa"/>
          </w:tcPr>
          <w:p w14:paraId="261F5621" w14:textId="77777777" w:rsidR="00380101" w:rsidRPr="003E2E18" w:rsidRDefault="0059708E" w:rsidP="00E71696">
            <w:r>
              <w:t>4,294,854</w:t>
            </w:r>
          </w:p>
        </w:tc>
        <w:tc>
          <w:tcPr>
            <w:tcW w:w="1775" w:type="dxa"/>
          </w:tcPr>
          <w:p w14:paraId="1B37FE24" w14:textId="77777777" w:rsidR="00380101" w:rsidRPr="003E2E18" w:rsidRDefault="00A91877" w:rsidP="00E71696">
            <w:r w:rsidRPr="003E2E18">
              <w:t>5,113,525</w:t>
            </w:r>
          </w:p>
        </w:tc>
      </w:tr>
      <w:tr w:rsidR="00380101" w:rsidRPr="00985BEA" w14:paraId="66C725DA" w14:textId="77777777" w:rsidTr="009348B8">
        <w:trPr>
          <w:cantSplit/>
          <w:jc w:val="center"/>
        </w:trPr>
        <w:tc>
          <w:tcPr>
            <w:tcW w:w="3712" w:type="dxa"/>
          </w:tcPr>
          <w:p w14:paraId="5A594162" w14:textId="77777777" w:rsidR="00380101" w:rsidRPr="003E2E18" w:rsidRDefault="00380101" w:rsidP="00E71696">
            <w:r w:rsidRPr="003E2E18">
              <w:t>Total Equity</w:t>
            </w:r>
          </w:p>
        </w:tc>
        <w:tc>
          <w:tcPr>
            <w:tcW w:w="1627" w:type="dxa"/>
          </w:tcPr>
          <w:p w14:paraId="2D2E2D1C" w14:textId="77777777" w:rsidR="00380101" w:rsidRPr="003E2E18" w:rsidRDefault="00380101" w:rsidP="00E71696"/>
        </w:tc>
        <w:tc>
          <w:tcPr>
            <w:tcW w:w="2071" w:type="dxa"/>
            <w:tcBorders>
              <w:top w:val="single" w:sz="4" w:space="0" w:color="auto"/>
              <w:bottom w:val="double" w:sz="4" w:space="0" w:color="auto"/>
            </w:tcBorders>
          </w:tcPr>
          <w:p w14:paraId="5F856336" w14:textId="77777777" w:rsidR="00380101" w:rsidRPr="003E2E18" w:rsidRDefault="0059708E" w:rsidP="00E71696">
            <w:r>
              <w:t>4,742,954</w:t>
            </w:r>
          </w:p>
        </w:tc>
        <w:tc>
          <w:tcPr>
            <w:tcW w:w="1775" w:type="dxa"/>
            <w:tcBorders>
              <w:top w:val="single" w:sz="4" w:space="0" w:color="auto"/>
              <w:bottom w:val="double" w:sz="4" w:space="0" w:color="auto"/>
            </w:tcBorders>
          </w:tcPr>
          <w:p w14:paraId="1B3BF8DE" w14:textId="77777777" w:rsidR="00380101" w:rsidRPr="003E2E18" w:rsidRDefault="00A91877" w:rsidP="00E71696">
            <w:r>
              <w:t>5,561,625</w:t>
            </w:r>
          </w:p>
        </w:tc>
      </w:tr>
    </w:tbl>
    <w:p w14:paraId="010407CC" w14:textId="77777777" w:rsidR="00D2400B" w:rsidRPr="008266C1" w:rsidRDefault="00D2400B" w:rsidP="008266C1">
      <w:pPr>
        <w:jc w:val="center"/>
        <w:rPr>
          <w:i/>
        </w:rPr>
      </w:pPr>
      <w:r w:rsidRPr="008266C1">
        <w:rPr>
          <w:i/>
        </w:rPr>
        <w:t>The accompanying notes form part of these financial statements</w:t>
      </w:r>
      <w:r w:rsidRPr="008266C1">
        <w:rPr>
          <w:i/>
        </w:rPr>
        <w:br w:type="page"/>
      </w:r>
    </w:p>
    <w:p w14:paraId="12ABCA4B" w14:textId="5D593D3A" w:rsidR="00D2400B" w:rsidRPr="005132DB" w:rsidRDefault="008266C1" w:rsidP="005132DB">
      <w:pPr>
        <w:pStyle w:val="Heading1"/>
        <w:rPr>
          <w:sz w:val="96"/>
        </w:rPr>
      </w:pPr>
      <w:bookmarkStart w:id="4" w:name="_Toc340406356"/>
      <w:r w:rsidRPr="005132DB">
        <w:rPr>
          <w:sz w:val="96"/>
        </w:rPr>
        <w:lastRenderedPageBreak/>
        <w:t>STATEMENT OF COMPREHENSIVE INCOME</w:t>
      </w:r>
      <w:bookmarkEnd w:id="4"/>
    </w:p>
    <w:p w14:paraId="637C6707" w14:textId="77777777" w:rsidR="00D2400B" w:rsidRPr="008266C1" w:rsidRDefault="009348B8" w:rsidP="00E71696">
      <w:pPr>
        <w:rPr>
          <w:rStyle w:val="Strong"/>
        </w:rPr>
      </w:pPr>
      <w:r w:rsidRPr="008266C1">
        <w:rPr>
          <w:rStyle w:val="Strong"/>
        </w:rPr>
        <w:t xml:space="preserve">For the Year ended 30 June </w:t>
      </w:r>
      <w:r w:rsidR="00EF1D9F" w:rsidRPr="008266C1">
        <w:rPr>
          <w:rStyle w:val="Strong"/>
        </w:rPr>
        <w:t>2016</w:t>
      </w:r>
    </w:p>
    <w:tbl>
      <w:tblPr>
        <w:tblStyle w:val="TableGrid"/>
        <w:tblW w:w="91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statement of comprehensive income items"/>
      </w:tblPr>
      <w:tblGrid>
        <w:gridCol w:w="3876"/>
        <w:gridCol w:w="1537"/>
        <w:gridCol w:w="1677"/>
        <w:gridCol w:w="2095"/>
      </w:tblGrid>
      <w:tr w:rsidR="00D2400B" w:rsidRPr="001E59DB" w14:paraId="564A8529" w14:textId="77777777" w:rsidTr="009348B8">
        <w:trPr>
          <w:cnfStyle w:val="100000000000" w:firstRow="1" w:lastRow="0" w:firstColumn="0" w:lastColumn="0" w:oddVBand="0" w:evenVBand="0" w:oddHBand="0" w:evenHBand="0" w:firstRowFirstColumn="0" w:firstRowLastColumn="0" w:lastRowFirstColumn="0" w:lastRowLastColumn="0"/>
          <w:cantSplit/>
          <w:tblHeader/>
          <w:jc w:val="center"/>
        </w:trPr>
        <w:tc>
          <w:tcPr>
            <w:tcW w:w="3876" w:type="dxa"/>
          </w:tcPr>
          <w:p w14:paraId="36895D55" w14:textId="77777777" w:rsidR="00D2400B" w:rsidRPr="001E59DB" w:rsidRDefault="00ED4ED0" w:rsidP="00E71696">
            <w:r>
              <w:t>Item</w:t>
            </w:r>
            <w:r w:rsidR="0083231D">
              <w:br/>
            </w:r>
          </w:p>
        </w:tc>
        <w:tc>
          <w:tcPr>
            <w:tcW w:w="1537" w:type="dxa"/>
          </w:tcPr>
          <w:p w14:paraId="4ECE69AF" w14:textId="77777777" w:rsidR="00D2400B" w:rsidRPr="001E59DB" w:rsidRDefault="00D2400B" w:rsidP="00E71696">
            <w:r>
              <w:t>Note</w:t>
            </w:r>
          </w:p>
        </w:tc>
        <w:tc>
          <w:tcPr>
            <w:tcW w:w="1677" w:type="dxa"/>
          </w:tcPr>
          <w:p w14:paraId="5FB93650" w14:textId="77777777" w:rsidR="00D2400B" w:rsidRPr="001E59DB" w:rsidRDefault="00EF1D9F" w:rsidP="00E71696">
            <w:r>
              <w:t>2016</w:t>
            </w:r>
            <w:r w:rsidR="00ED4ED0">
              <w:br/>
              <w:t>$</w:t>
            </w:r>
          </w:p>
        </w:tc>
        <w:tc>
          <w:tcPr>
            <w:tcW w:w="2095" w:type="dxa"/>
          </w:tcPr>
          <w:p w14:paraId="5F658FCD" w14:textId="77777777" w:rsidR="00D2400B" w:rsidRPr="001E59DB" w:rsidRDefault="00EF1D9F" w:rsidP="00E71696">
            <w:r>
              <w:t>2015</w:t>
            </w:r>
            <w:r w:rsidR="00ED4ED0">
              <w:br/>
              <w:t>$</w:t>
            </w:r>
          </w:p>
        </w:tc>
      </w:tr>
      <w:tr w:rsidR="00380101" w:rsidRPr="003E2E18" w14:paraId="4F11731F" w14:textId="77777777" w:rsidTr="009348B8">
        <w:trPr>
          <w:cantSplit/>
          <w:jc w:val="center"/>
        </w:trPr>
        <w:tc>
          <w:tcPr>
            <w:tcW w:w="3876" w:type="dxa"/>
          </w:tcPr>
          <w:p w14:paraId="03E35FFF" w14:textId="77777777" w:rsidR="00380101" w:rsidRPr="003E2E18" w:rsidRDefault="00380101" w:rsidP="00E71696">
            <w:r w:rsidRPr="003E2E18">
              <w:t>Revenue from government and other grants</w:t>
            </w:r>
          </w:p>
        </w:tc>
        <w:tc>
          <w:tcPr>
            <w:tcW w:w="1537" w:type="dxa"/>
          </w:tcPr>
          <w:p w14:paraId="44E674E8" w14:textId="77777777" w:rsidR="00380101" w:rsidRPr="003E2E18" w:rsidRDefault="00380101" w:rsidP="00E71696"/>
        </w:tc>
        <w:tc>
          <w:tcPr>
            <w:tcW w:w="1677" w:type="dxa"/>
          </w:tcPr>
          <w:p w14:paraId="581FB5C2" w14:textId="77777777" w:rsidR="00034268" w:rsidRDefault="00A03E46" w:rsidP="00E71696">
            <w:r>
              <w:t>61,776</w:t>
            </w:r>
          </w:p>
          <w:p w14:paraId="538CA645" w14:textId="77777777" w:rsidR="00380101" w:rsidRPr="00034268" w:rsidRDefault="00380101" w:rsidP="00E71696"/>
        </w:tc>
        <w:tc>
          <w:tcPr>
            <w:tcW w:w="2095" w:type="dxa"/>
          </w:tcPr>
          <w:p w14:paraId="55D39A41" w14:textId="77777777" w:rsidR="00356A7C" w:rsidRPr="003E2E18" w:rsidRDefault="00356A7C" w:rsidP="00E71696">
            <w:r w:rsidRPr="003E2E18">
              <w:t>30,080</w:t>
            </w:r>
          </w:p>
          <w:p w14:paraId="31D18CC0" w14:textId="77777777" w:rsidR="00380101" w:rsidRPr="003E2E18" w:rsidRDefault="00380101" w:rsidP="00E71696"/>
        </w:tc>
      </w:tr>
      <w:tr w:rsidR="00380101" w:rsidRPr="003E2E18" w14:paraId="49CCBB5F" w14:textId="77777777" w:rsidTr="009348B8">
        <w:trPr>
          <w:cantSplit/>
          <w:jc w:val="center"/>
        </w:trPr>
        <w:tc>
          <w:tcPr>
            <w:tcW w:w="3876" w:type="dxa"/>
          </w:tcPr>
          <w:p w14:paraId="6B7A5024" w14:textId="77777777" w:rsidR="00380101" w:rsidRPr="003E2E18" w:rsidRDefault="00380101" w:rsidP="00E71696">
            <w:r w:rsidRPr="003E2E18">
              <w:t>Other Revenue</w:t>
            </w:r>
          </w:p>
        </w:tc>
        <w:tc>
          <w:tcPr>
            <w:tcW w:w="1537" w:type="dxa"/>
          </w:tcPr>
          <w:p w14:paraId="4E6153C9" w14:textId="77777777" w:rsidR="00380101" w:rsidRPr="003E2E18" w:rsidRDefault="00380101" w:rsidP="00E71696">
            <w:r w:rsidRPr="003E2E18">
              <w:t>2</w:t>
            </w:r>
          </w:p>
        </w:tc>
        <w:tc>
          <w:tcPr>
            <w:tcW w:w="1677" w:type="dxa"/>
          </w:tcPr>
          <w:p w14:paraId="06D836A4" w14:textId="77777777" w:rsidR="00380101" w:rsidRPr="003E2E18" w:rsidRDefault="00034268" w:rsidP="00E71696">
            <w:r>
              <w:t>677,847</w:t>
            </w:r>
          </w:p>
        </w:tc>
        <w:tc>
          <w:tcPr>
            <w:tcW w:w="2095" w:type="dxa"/>
          </w:tcPr>
          <w:p w14:paraId="2FB4E548" w14:textId="77777777" w:rsidR="00380101" w:rsidRPr="003E2E18" w:rsidRDefault="00034268" w:rsidP="00E71696">
            <w:r>
              <w:t>365,312</w:t>
            </w:r>
          </w:p>
        </w:tc>
      </w:tr>
      <w:tr w:rsidR="00380101" w:rsidRPr="003E2E18" w14:paraId="681D0713" w14:textId="77777777" w:rsidTr="009348B8">
        <w:trPr>
          <w:cantSplit/>
          <w:jc w:val="center"/>
        </w:trPr>
        <w:tc>
          <w:tcPr>
            <w:tcW w:w="3876" w:type="dxa"/>
          </w:tcPr>
          <w:p w14:paraId="4E3CF88A" w14:textId="77777777" w:rsidR="00380101" w:rsidRPr="003E2E18" w:rsidRDefault="00380101" w:rsidP="00E71696">
            <w:r w:rsidRPr="003E2E18">
              <w:t>Depreciation and amortisation</w:t>
            </w:r>
          </w:p>
        </w:tc>
        <w:tc>
          <w:tcPr>
            <w:tcW w:w="1537" w:type="dxa"/>
          </w:tcPr>
          <w:p w14:paraId="1417957C" w14:textId="77777777" w:rsidR="00380101" w:rsidRPr="003E2E18" w:rsidRDefault="00380101" w:rsidP="00E71696"/>
        </w:tc>
        <w:tc>
          <w:tcPr>
            <w:tcW w:w="1677" w:type="dxa"/>
          </w:tcPr>
          <w:p w14:paraId="67CE773B" w14:textId="77777777" w:rsidR="00380101" w:rsidRPr="003E2E18" w:rsidRDefault="00034268" w:rsidP="00E71696">
            <w:r>
              <w:t>(16,252)</w:t>
            </w:r>
          </w:p>
        </w:tc>
        <w:tc>
          <w:tcPr>
            <w:tcW w:w="2095" w:type="dxa"/>
          </w:tcPr>
          <w:p w14:paraId="76C113AF" w14:textId="77777777" w:rsidR="00380101" w:rsidRPr="003E2E18" w:rsidRDefault="00356A7C" w:rsidP="00E71696">
            <w:r w:rsidRPr="003E2E18">
              <w:t>(103,198)</w:t>
            </w:r>
          </w:p>
        </w:tc>
      </w:tr>
      <w:tr w:rsidR="00380101" w:rsidRPr="003E2E18" w14:paraId="71A3CC53" w14:textId="77777777" w:rsidTr="009348B8">
        <w:trPr>
          <w:cantSplit/>
          <w:jc w:val="center"/>
        </w:trPr>
        <w:tc>
          <w:tcPr>
            <w:tcW w:w="3876" w:type="dxa"/>
          </w:tcPr>
          <w:p w14:paraId="3CA55053" w14:textId="77777777" w:rsidR="00380101" w:rsidRPr="003E2E18" w:rsidRDefault="00380101" w:rsidP="00E71696">
            <w:r w:rsidRPr="003E2E18">
              <w:t>Employee Expense</w:t>
            </w:r>
          </w:p>
        </w:tc>
        <w:tc>
          <w:tcPr>
            <w:tcW w:w="1537" w:type="dxa"/>
          </w:tcPr>
          <w:p w14:paraId="2D0753A0" w14:textId="77777777" w:rsidR="00380101" w:rsidRPr="003E2E18" w:rsidRDefault="00380101" w:rsidP="00E71696">
            <w:r w:rsidRPr="003E2E18">
              <w:t>4</w:t>
            </w:r>
          </w:p>
        </w:tc>
        <w:tc>
          <w:tcPr>
            <w:tcW w:w="1677" w:type="dxa"/>
          </w:tcPr>
          <w:p w14:paraId="0D1FE1F1" w14:textId="77777777" w:rsidR="00380101" w:rsidRPr="003E2E18" w:rsidRDefault="00034268" w:rsidP="00E71696">
            <w:r>
              <w:t xml:space="preserve"> (1,131,733)</w:t>
            </w:r>
          </w:p>
        </w:tc>
        <w:tc>
          <w:tcPr>
            <w:tcW w:w="2095" w:type="dxa"/>
          </w:tcPr>
          <w:p w14:paraId="1B2B929A" w14:textId="77777777" w:rsidR="00380101" w:rsidRPr="003E2E18" w:rsidRDefault="00356A7C" w:rsidP="00E71696">
            <w:r w:rsidRPr="003E2E18">
              <w:t>(1,261,915)</w:t>
            </w:r>
          </w:p>
        </w:tc>
      </w:tr>
      <w:tr w:rsidR="00380101" w:rsidRPr="003E2E18" w14:paraId="6EA700C1" w14:textId="77777777" w:rsidTr="009348B8">
        <w:trPr>
          <w:cantSplit/>
          <w:jc w:val="center"/>
        </w:trPr>
        <w:tc>
          <w:tcPr>
            <w:tcW w:w="3876" w:type="dxa"/>
          </w:tcPr>
          <w:p w14:paraId="33E276B4" w14:textId="77777777" w:rsidR="00380101" w:rsidRPr="003E2E18" w:rsidRDefault="00380101" w:rsidP="00E71696">
            <w:r w:rsidRPr="003E2E18">
              <w:t>Leased premises expenses</w:t>
            </w:r>
          </w:p>
        </w:tc>
        <w:tc>
          <w:tcPr>
            <w:tcW w:w="1537" w:type="dxa"/>
          </w:tcPr>
          <w:p w14:paraId="11F09642" w14:textId="77777777" w:rsidR="00380101" w:rsidRPr="003E2E18" w:rsidRDefault="00380101" w:rsidP="00E71696"/>
        </w:tc>
        <w:tc>
          <w:tcPr>
            <w:tcW w:w="1677" w:type="dxa"/>
          </w:tcPr>
          <w:p w14:paraId="55C124A9" w14:textId="77777777" w:rsidR="00380101" w:rsidRPr="003E2E18" w:rsidRDefault="00034268" w:rsidP="00E71696">
            <w:r>
              <w:t>(126,656)</w:t>
            </w:r>
          </w:p>
        </w:tc>
        <w:tc>
          <w:tcPr>
            <w:tcW w:w="2095" w:type="dxa"/>
          </w:tcPr>
          <w:p w14:paraId="6DA85A8F" w14:textId="77777777" w:rsidR="00380101" w:rsidRPr="003E2E18" w:rsidRDefault="00356A7C" w:rsidP="00E71696">
            <w:r w:rsidRPr="003E2E18">
              <w:t>(124,658)</w:t>
            </w:r>
          </w:p>
        </w:tc>
      </w:tr>
      <w:tr w:rsidR="00380101" w:rsidRPr="003E2E18" w14:paraId="4F202B97" w14:textId="77777777" w:rsidTr="009348B8">
        <w:trPr>
          <w:cantSplit/>
          <w:jc w:val="center"/>
        </w:trPr>
        <w:tc>
          <w:tcPr>
            <w:tcW w:w="3876" w:type="dxa"/>
          </w:tcPr>
          <w:p w14:paraId="17D4E008" w14:textId="77777777" w:rsidR="00380101" w:rsidRPr="003E2E18" w:rsidRDefault="00380101" w:rsidP="00E71696">
            <w:r w:rsidRPr="003E2E18">
              <w:t>Production, cinema and captioning expenses</w:t>
            </w:r>
          </w:p>
        </w:tc>
        <w:tc>
          <w:tcPr>
            <w:tcW w:w="1537" w:type="dxa"/>
          </w:tcPr>
          <w:p w14:paraId="5CA34661" w14:textId="77777777" w:rsidR="00380101" w:rsidRPr="003E2E18" w:rsidRDefault="00380101" w:rsidP="00E71696"/>
        </w:tc>
        <w:tc>
          <w:tcPr>
            <w:tcW w:w="1677" w:type="dxa"/>
          </w:tcPr>
          <w:p w14:paraId="7ECFEF45" w14:textId="77777777" w:rsidR="00380101" w:rsidRPr="003E2E18" w:rsidRDefault="00034268" w:rsidP="00E71696">
            <w:r>
              <w:t>(1,304)</w:t>
            </w:r>
          </w:p>
        </w:tc>
        <w:tc>
          <w:tcPr>
            <w:tcW w:w="2095" w:type="dxa"/>
          </w:tcPr>
          <w:p w14:paraId="0A1B29D3" w14:textId="77777777" w:rsidR="00380101" w:rsidRPr="003E2E18" w:rsidRDefault="00356A7C" w:rsidP="00E71696">
            <w:r w:rsidRPr="003E2E18">
              <w:t>(250)</w:t>
            </w:r>
          </w:p>
        </w:tc>
      </w:tr>
      <w:tr w:rsidR="00380101" w:rsidRPr="003E2E18" w14:paraId="1294FAF7" w14:textId="77777777" w:rsidTr="009348B8">
        <w:trPr>
          <w:cantSplit/>
          <w:jc w:val="center"/>
        </w:trPr>
        <w:tc>
          <w:tcPr>
            <w:tcW w:w="3876" w:type="dxa"/>
          </w:tcPr>
          <w:p w14:paraId="20351294" w14:textId="77777777" w:rsidR="00380101" w:rsidRPr="003E2E18" w:rsidRDefault="00380101" w:rsidP="00E71696">
            <w:r w:rsidRPr="003E2E18">
              <w:t>Travelling Expenses</w:t>
            </w:r>
          </w:p>
        </w:tc>
        <w:tc>
          <w:tcPr>
            <w:tcW w:w="1537" w:type="dxa"/>
          </w:tcPr>
          <w:p w14:paraId="2F167FA0" w14:textId="77777777" w:rsidR="00380101" w:rsidRPr="003E2E18" w:rsidRDefault="00380101" w:rsidP="00E71696"/>
        </w:tc>
        <w:tc>
          <w:tcPr>
            <w:tcW w:w="1677" w:type="dxa"/>
          </w:tcPr>
          <w:p w14:paraId="0D2AD806" w14:textId="77777777" w:rsidR="00380101" w:rsidRPr="003E2E18" w:rsidRDefault="00034268" w:rsidP="00E71696">
            <w:r>
              <w:t>(31,566)</w:t>
            </w:r>
          </w:p>
        </w:tc>
        <w:tc>
          <w:tcPr>
            <w:tcW w:w="2095" w:type="dxa"/>
          </w:tcPr>
          <w:p w14:paraId="3FAE08D0" w14:textId="77777777" w:rsidR="00380101" w:rsidRPr="003E2E18" w:rsidRDefault="00356A7C" w:rsidP="00E71696">
            <w:r w:rsidRPr="003E2E18">
              <w:t>(26,476)</w:t>
            </w:r>
          </w:p>
        </w:tc>
      </w:tr>
      <w:tr w:rsidR="00380101" w:rsidRPr="003E2E18" w14:paraId="7F726313" w14:textId="77777777" w:rsidTr="009348B8">
        <w:trPr>
          <w:cantSplit/>
          <w:jc w:val="center"/>
        </w:trPr>
        <w:tc>
          <w:tcPr>
            <w:tcW w:w="3876" w:type="dxa"/>
          </w:tcPr>
          <w:p w14:paraId="786CA2AE" w14:textId="77777777" w:rsidR="00380101" w:rsidRPr="003E2E18" w:rsidRDefault="00380101" w:rsidP="00E71696">
            <w:r w:rsidRPr="003E2E18">
              <w:t>Other Expenses</w:t>
            </w:r>
          </w:p>
        </w:tc>
        <w:tc>
          <w:tcPr>
            <w:tcW w:w="1537" w:type="dxa"/>
          </w:tcPr>
          <w:p w14:paraId="7AA9DBF4" w14:textId="77777777" w:rsidR="00380101" w:rsidRPr="003E2E18" w:rsidRDefault="00380101" w:rsidP="00E71696"/>
        </w:tc>
        <w:tc>
          <w:tcPr>
            <w:tcW w:w="1677" w:type="dxa"/>
            <w:tcBorders>
              <w:bottom w:val="single" w:sz="4" w:space="0" w:color="auto"/>
            </w:tcBorders>
          </w:tcPr>
          <w:p w14:paraId="61680B76" w14:textId="77777777" w:rsidR="00380101" w:rsidRPr="003E2E18" w:rsidRDefault="00034268" w:rsidP="00E71696">
            <w:r>
              <w:t>(</w:t>
            </w:r>
            <w:r w:rsidR="00D5186E">
              <w:t>275,884</w:t>
            </w:r>
            <w:r>
              <w:t>)</w:t>
            </w:r>
          </w:p>
        </w:tc>
        <w:tc>
          <w:tcPr>
            <w:tcW w:w="2095" w:type="dxa"/>
            <w:tcBorders>
              <w:bottom w:val="single" w:sz="4" w:space="0" w:color="auto"/>
            </w:tcBorders>
          </w:tcPr>
          <w:p w14:paraId="6F8C9664" w14:textId="77777777" w:rsidR="00380101" w:rsidRPr="003E2E18" w:rsidRDefault="00356A7C" w:rsidP="00E71696">
            <w:r w:rsidRPr="003E2E18">
              <w:t>(351,745)</w:t>
            </w:r>
          </w:p>
        </w:tc>
      </w:tr>
      <w:tr w:rsidR="00380101" w:rsidRPr="003E2E18" w14:paraId="48497636" w14:textId="77777777" w:rsidTr="009348B8">
        <w:trPr>
          <w:cantSplit/>
          <w:jc w:val="center"/>
        </w:trPr>
        <w:tc>
          <w:tcPr>
            <w:tcW w:w="3876" w:type="dxa"/>
          </w:tcPr>
          <w:p w14:paraId="624FCDB5" w14:textId="77777777" w:rsidR="00380101" w:rsidRPr="003E2E18" w:rsidRDefault="00380101" w:rsidP="00E71696">
            <w:r w:rsidRPr="003E2E18">
              <w:t>Profit/ (Loss) before net financial income</w:t>
            </w:r>
          </w:p>
        </w:tc>
        <w:tc>
          <w:tcPr>
            <w:tcW w:w="1537" w:type="dxa"/>
          </w:tcPr>
          <w:p w14:paraId="2A9371B2" w14:textId="77777777" w:rsidR="00380101" w:rsidRPr="003E2E18" w:rsidRDefault="00380101" w:rsidP="00E71696"/>
        </w:tc>
        <w:tc>
          <w:tcPr>
            <w:tcW w:w="1677" w:type="dxa"/>
            <w:tcBorders>
              <w:top w:val="single" w:sz="4" w:space="0" w:color="auto"/>
            </w:tcBorders>
          </w:tcPr>
          <w:p w14:paraId="757D8471" w14:textId="77777777" w:rsidR="00380101" w:rsidRPr="003E2E18" w:rsidRDefault="00034268" w:rsidP="00E71696">
            <w:r>
              <w:t>(</w:t>
            </w:r>
            <w:r w:rsidR="00D5186E">
              <w:t>843,772</w:t>
            </w:r>
            <w:r>
              <w:t>)</w:t>
            </w:r>
          </w:p>
        </w:tc>
        <w:tc>
          <w:tcPr>
            <w:tcW w:w="2095" w:type="dxa"/>
            <w:tcBorders>
              <w:top w:val="single" w:sz="4" w:space="0" w:color="auto"/>
            </w:tcBorders>
          </w:tcPr>
          <w:p w14:paraId="6B4EC787" w14:textId="77777777" w:rsidR="00380101" w:rsidRPr="003E2E18" w:rsidRDefault="00356A7C" w:rsidP="00E71696">
            <w:r w:rsidRPr="003E2E18">
              <w:t>(1,472,850)</w:t>
            </w:r>
          </w:p>
        </w:tc>
      </w:tr>
      <w:tr w:rsidR="00380101" w:rsidRPr="003E2E18" w14:paraId="06FA6AE0" w14:textId="77777777" w:rsidTr="009348B8">
        <w:trPr>
          <w:cantSplit/>
          <w:jc w:val="center"/>
        </w:trPr>
        <w:tc>
          <w:tcPr>
            <w:tcW w:w="3876" w:type="dxa"/>
          </w:tcPr>
          <w:p w14:paraId="4548CC4F" w14:textId="77777777" w:rsidR="00380101" w:rsidRPr="003E2E18" w:rsidRDefault="00380101" w:rsidP="00E71696">
            <w:r w:rsidRPr="003E2E18">
              <w:t>Net financial Income (expense)</w:t>
            </w:r>
          </w:p>
        </w:tc>
        <w:tc>
          <w:tcPr>
            <w:tcW w:w="1537" w:type="dxa"/>
          </w:tcPr>
          <w:p w14:paraId="14D2D29C" w14:textId="77777777" w:rsidR="00380101" w:rsidRPr="003E2E18" w:rsidRDefault="00380101" w:rsidP="00E71696">
            <w:r w:rsidRPr="003E2E18">
              <w:t>3</w:t>
            </w:r>
          </w:p>
        </w:tc>
        <w:tc>
          <w:tcPr>
            <w:tcW w:w="1677" w:type="dxa"/>
            <w:tcBorders>
              <w:bottom w:val="single" w:sz="4" w:space="0" w:color="auto"/>
            </w:tcBorders>
          </w:tcPr>
          <w:p w14:paraId="76E67154" w14:textId="77777777" w:rsidR="00380101" w:rsidRPr="003E2E18" w:rsidRDefault="00034268" w:rsidP="00E71696">
            <w:r>
              <w:t>25,100</w:t>
            </w:r>
          </w:p>
        </w:tc>
        <w:tc>
          <w:tcPr>
            <w:tcW w:w="2095" w:type="dxa"/>
            <w:tcBorders>
              <w:bottom w:val="single" w:sz="4" w:space="0" w:color="auto"/>
            </w:tcBorders>
          </w:tcPr>
          <w:p w14:paraId="01968860" w14:textId="77777777" w:rsidR="00380101" w:rsidRPr="003E2E18" w:rsidRDefault="00356A7C" w:rsidP="00E71696">
            <w:r w:rsidRPr="003E2E18">
              <w:t>45,147</w:t>
            </w:r>
          </w:p>
        </w:tc>
      </w:tr>
      <w:tr w:rsidR="00380101" w:rsidRPr="003E2E18" w14:paraId="6CC25EB8" w14:textId="77777777" w:rsidTr="009348B8">
        <w:trPr>
          <w:cantSplit/>
          <w:jc w:val="center"/>
        </w:trPr>
        <w:tc>
          <w:tcPr>
            <w:tcW w:w="3876" w:type="dxa"/>
          </w:tcPr>
          <w:p w14:paraId="4FE2B5FE" w14:textId="77777777" w:rsidR="00380101" w:rsidRPr="003E2E18" w:rsidRDefault="00380101" w:rsidP="00E71696">
            <w:r w:rsidRPr="003E2E18">
              <w:t>Profit/ (Loss) before income tax</w:t>
            </w:r>
          </w:p>
        </w:tc>
        <w:tc>
          <w:tcPr>
            <w:tcW w:w="1537" w:type="dxa"/>
          </w:tcPr>
          <w:p w14:paraId="476CB378" w14:textId="77777777" w:rsidR="00380101" w:rsidRPr="003E2E18" w:rsidRDefault="00380101" w:rsidP="00E71696"/>
        </w:tc>
        <w:tc>
          <w:tcPr>
            <w:tcW w:w="1677" w:type="dxa"/>
            <w:tcBorders>
              <w:top w:val="single" w:sz="4" w:space="0" w:color="auto"/>
            </w:tcBorders>
          </w:tcPr>
          <w:p w14:paraId="302DCAD3" w14:textId="77777777" w:rsidR="00380101" w:rsidRPr="003E2E18" w:rsidRDefault="00380101" w:rsidP="00E71696"/>
        </w:tc>
        <w:tc>
          <w:tcPr>
            <w:tcW w:w="2095" w:type="dxa"/>
            <w:tcBorders>
              <w:top w:val="single" w:sz="4" w:space="0" w:color="auto"/>
            </w:tcBorders>
          </w:tcPr>
          <w:p w14:paraId="67CADE63" w14:textId="77777777" w:rsidR="00380101" w:rsidRPr="003E2E18" w:rsidRDefault="00356A7C" w:rsidP="00E71696">
            <w:r w:rsidRPr="003E2E18">
              <w:t>(1,427,703)</w:t>
            </w:r>
          </w:p>
        </w:tc>
      </w:tr>
      <w:tr w:rsidR="00380101" w:rsidRPr="003E2E18" w14:paraId="7D688C2C" w14:textId="77777777" w:rsidTr="009348B8">
        <w:trPr>
          <w:cantSplit/>
          <w:jc w:val="center"/>
        </w:trPr>
        <w:tc>
          <w:tcPr>
            <w:tcW w:w="3876" w:type="dxa"/>
          </w:tcPr>
          <w:p w14:paraId="77B8A21D" w14:textId="77777777" w:rsidR="00380101" w:rsidRPr="003E2E18" w:rsidRDefault="00380101" w:rsidP="00E71696">
            <w:r w:rsidRPr="003E2E18">
              <w:t>Income tax expense</w:t>
            </w:r>
          </w:p>
        </w:tc>
        <w:tc>
          <w:tcPr>
            <w:tcW w:w="1537" w:type="dxa"/>
          </w:tcPr>
          <w:p w14:paraId="01303AAF" w14:textId="77777777" w:rsidR="00380101" w:rsidRPr="003E2E18" w:rsidRDefault="00380101" w:rsidP="00E71696"/>
        </w:tc>
        <w:tc>
          <w:tcPr>
            <w:tcW w:w="1677" w:type="dxa"/>
            <w:tcBorders>
              <w:bottom w:val="single" w:sz="4" w:space="0" w:color="auto"/>
            </w:tcBorders>
          </w:tcPr>
          <w:p w14:paraId="324800B3" w14:textId="77777777" w:rsidR="00380101" w:rsidRPr="003E2E18" w:rsidRDefault="00380101" w:rsidP="00E71696">
            <w:r w:rsidRPr="003E2E18">
              <w:t>-</w:t>
            </w:r>
          </w:p>
        </w:tc>
        <w:tc>
          <w:tcPr>
            <w:tcW w:w="2095" w:type="dxa"/>
            <w:tcBorders>
              <w:bottom w:val="single" w:sz="4" w:space="0" w:color="auto"/>
            </w:tcBorders>
          </w:tcPr>
          <w:p w14:paraId="0F4FA48E" w14:textId="77777777" w:rsidR="00380101" w:rsidRPr="003E2E18" w:rsidRDefault="00380101" w:rsidP="00E71696">
            <w:r w:rsidRPr="003E2E18">
              <w:t>-</w:t>
            </w:r>
          </w:p>
        </w:tc>
      </w:tr>
      <w:tr w:rsidR="00380101" w14:paraId="6B62FEC2" w14:textId="77777777" w:rsidTr="009348B8">
        <w:trPr>
          <w:cantSplit/>
          <w:trHeight w:val="87"/>
          <w:jc w:val="center"/>
        </w:trPr>
        <w:tc>
          <w:tcPr>
            <w:tcW w:w="3876" w:type="dxa"/>
          </w:tcPr>
          <w:p w14:paraId="2ED67F77" w14:textId="77777777" w:rsidR="00380101" w:rsidRPr="003E2E18" w:rsidRDefault="00380101" w:rsidP="00E71696">
            <w:r w:rsidRPr="003E2E18">
              <w:t>Profit/ (Loss) after Income Tax</w:t>
            </w:r>
          </w:p>
        </w:tc>
        <w:tc>
          <w:tcPr>
            <w:tcW w:w="1537" w:type="dxa"/>
          </w:tcPr>
          <w:p w14:paraId="75E4C3AE" w14:textId="77777777" w:rsidR="00380101" w:rsidRPr="003E2E18" w:rsidRDefault="00380101" w:rsidP="00E71696"/>
        </w:tc>
        <w:tc>
          <w:tcPr>
            <w:tcW w:w="1677" w:type="dxa"/>
            <w:tcBorders>
              <w:top w:val="single" w:sz="4" w:space="0" w:color="auto"/>
              <w:bottom w:val="double" w:sz="4" w:space="0" w:color="auto"/>
            </w:tcBorders>
          </w:tcPr>
          <w:p w14:paraId="6433E70A" w14:textId="77777777" w:rsidR="00380101" w:rsidRPr="003E2E18" w:rsidRDefault="00034268" w:rsidP="00E71696">
            <w:r>
              <w:t>(</w:t>
            </w:r>
            <w:r w:rsidR="00D5186E">
              <w:t>818,672</w:t>
            </w:r>
            <w:r>
              <w:t>)</w:t>
            </w:r>
          </w:p>
        </w:tc>
        <w:tc>
          <w:tcPr>
            <w:tcW w:w="2095" w:type="dxa"/>
            <w:tcBorders>
              <w:top w:val="single" w:sz="4" w:space="0" w:color="auto"/>
              <w:bottom w:val="double" w:sz="4" w:space="0" w:color="auto"/>
            </w:tcBorders>
          </w:tcPr>
          <w:p w14:paraId="36335C26" w14:textId="77777777" w:rsidR="00380101" w:rsidRPr="003E2E18" w:rsidRDefault="00356A7C" w:rsidP="00E71696">
            <w:r w:rsidRPr="003E2E18">
              <w:t>(1,427,703)</w:t>
            </w:r>
          </w:p>
        </w:tc>
      </w:tr>
    </w:tbl>
    <w:p w14:paraId="1CC7A5B4" w14:textId="77777777" w:rsidR="00603B49" w:rsidRDefault="00603B49" w:rsidP="008266C1">
      <w:pPr>
        <w:jc w:val="center"/>
        <w:rPr>
          <w:i/>
        </w:rPr>
      </w:pPr>
    </w:p>
    <w:p w14:paraId="4FD45A54" w14:textId="77777777" w:rsidR="00D2400B" w:rsidRPr="008266C1" w:rsidRDefault="00D2400B" w:rsidP="008266C1">
      <w:pPr>
        <w:jc w:val="center"/>
        <w:rPr>
          <w:i/>
        </w:rPr>
        <w:sectPr w:rsidR="00D2400B" w:rsidRPr="008266C1" w:rsidSect="007C6542">
          <w:footerReference w:type="default" r:id="rId24"/>
          <w:pgSz w:w="11904" w:h="16836"/>
          <w:pgMar w:top="1440" w:right="1440" w:bottom="1559" w:left="1440" w:header="720" w:footer="0" w:gutter="0"/>
          <w:cols w:space="720"/>
          <w:vAlign w:val="center"/>
          <w:noEndnote/>
          <w:docGrid w:linePitch="299"/>
        </w:sectPr>
      </w:pPr>
      <w:r w:rsidRPr="008266C1">
        <w:rPr>
          <w:i/>
        </w:rPr>
        <w:t>The accompanying notes form part of these financial statements.</w:t>
      </w:r>
    </w:p>
    <w:p w14:paraId="209A1A1D" w14:textId="4A7E148C" w:rsidR="00D2400B" w:rsidRPr="005132DB" w:rsidRDefault="008266C1" w:rsidP="005132DB">
      <w:pPr>
        <w:pStyle w:val="Heading1"/>
        <w:rPr>
          <w:sz w:val="96"/>
          <w:szCs w:val="120"/>
        </w:rPr>
      </w:pPr>
      <w:bookmarkStart w:id="5" w:name="_Toc340406357"/>
      <w:r w:rsidRPr="005132DB">
        <w:rPr>
          <w:sz w:val="96"/>
          <w:szCs w:val="120"/>
        </w:rPr>
        <w:lastRenderedPageBreak/>
        <w:t>STATEMENT OF CHANGES IN EQUITY</w:t>
      </w:r>
      <w:bookmarkEnd w:id="5"/>
    </w:p>
    <w:p w14:paraId="52E89CF5" w14:textId="77777777" w:rsidR="00D2400B" w:rsidRPr="008266C1" w:rsidRDefault="009348B8" w:rsidP="00E71696">
      <w:pPr>
        <w:rPr>
          <w:rStyle w:val="Strong"/>
        </w:rPr>
      </w:pPr>
      <w:r w:rsidRPr="008266C1">
        <w:rPr>
          <w:rStyle w:val="Strong"/>
        </w:rPr>
        <w:t xml:space="preserve">For the Year ended 30 June </w:t>
      </w:r>
      <w:r w:rsidR="00EF1D9F" w:rsidRPr="008266C1">
        <w:rPr>
          <w:rStyle w:val="Strong"/>
        </w:rPr>
        <w:t>2016</w:t>
      </w:r>
    </w:p>
    <w:tbl>
      <w:tblPr>
        <w:tblStyle w:val="TableGrid"/>
        <w:tblW w:w="91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statement of changes in equity items"/>
      </w:tblPr>
      <w:tblGrid>
        <w:gridCol w:w="5580"/>
        <w:gridCol w:w="1685"/>
        <w:gridCol w:w="1920"/>
      </w:tblGrid>
      <w:tr w:rsidR="00D2400B" w:rsidRPr="00122E11" w14:paraId="1631D78C" w14:textId="77777777" w:rsidTr="009348B8">
        <w:trPr>
          <w:cnfStyle w:val="100000000000" w:firstRow="1" w:lastRow="0" w:firstColumn="0" w:lastColumn="0" w:oddVBand="0" w:evenVBand="0" w:oddHBand="0" w:evenHBand="0" w:firstRowFirstColumn="0" w:firstRowLastColumn="0" w:lastRowFirstColumn="0" w:lastRowLastColumn="0"/>
          <w:cantSplit/>
          <w:tblHeader/>
          <w:jc w:val="center"/>
        </w:trPr>
        <w:tc>
          <w:tcPr>
            <w:tcW w:w="5580" w:type="dxa"/>
          </w:tcPr>
          <w:p w14:paraId="40DA355A" w14:textId="77777777" w:rsidR="00D2400B" w:rsidRPr="00122E11" w:rsidRDefault="00C2688A" w:rsidP="00E71696">
            <w:r w:rsidRPr="00122E11">
              <w:t>Item</w:t>
            </w:r>
          </w:p>
        </w:tc>
        <w:tc>
          <w:tcPr>
            <w:tcW w:w="1685" w:type="dxa"/>
          </w:tcPr>
          <w:p w14:paraId="0E3D8914" w14:textId="77777777" w:rsidR="00D2400B" w:rsidRPr="00122E11" w:rsidRDefault="00EF1D9F" w:rsidP="00E71696">
            <w:r>
              <w:t>2016</w:t>
            </w:r>
            <w:r w:rsidR="00C2688A" w:rsidRPr="00122E11">
              <w:br/>
              <w:t>$</w:t>
            </w:r>
          </w:p>
        </w:tc>
        <w:tc>
          <w:tcPr>
            <w:tcW w:w="1920" w:type="dxa"/>
          </w:tcPr>
          <w:p w14:paraId="69C06D66" w14:textId="77777777" w:rsidR="00D2400B" w:rsidRPr="00122E11" w:rsidRDefault="00EF1D9F" w:rsidP="00E71696">
            <w:r>
              <w:t>2015</w:t>
            </w:r>
            <w:r w:rsidR="00C2688A" w:rsidRPr="00122E11">
              <w:br/>
              <w:t>$</w:t>
            </w:r>
          </w:p>
        </w:tc>
      </w:tr>
      <w:tr w:rsidR="00662234" w:rsidRPr="00122E11" w14:paraId="367E46D1" w14:textId="77777777" w:rsidTr="009348B8">
        <w:trPr>
          <w:cantSplit/>
          <w:jc w:val="center"/>
        </w:trPr>
        <w:tc>
          <w:tcPr>
            <w:tcW w:w="5580" w:type="dxa"/>
          </w:tcPr>
          <w:p w14:paraId="1126C225" w14:textId="77777777" w:rsidR="00662234" w:rsidRPr="00122E11" w:rsidRDefault="00662234" w:rsidP="00E71696">
            <w:r w:rsidRPr="00122E11">
              <w:t>Opening Balance</w:t>
            </w:r>
          </w:p>
        </w:tc>
        <w:tc>
          <w:tcPr>
            <w:tcW w:w="1685" w:type="dxa"/>
          </w:tcPr>
          <w:p w14:paraId="16F2C655" w14:textId="77777777" w:rsidR="00662234" w:rsidRPr="00122E11" w:rsidRDefault="0074092E" w:rsidP="00E71696">
            <w:r>
              <w:t>5,561,625</w:t>
            </w:r>
          </w:p>
        </w:tc>
        <w:tc>
          <w:tcPr>
            <w:tcW w:w="1920" w:type="dxa"/>
          </w:tcPr>
          <w:p w14:paraId="7AAF69E4" w14:textId="77777777" w:rsidR="00662234" w:rsidRPr="00122E11" w:rsidRDefault="00662234" w:rsidP="00E71696">
            <w:r w:rsidRPr="00122E11">
              <w:t>6,989,328</w:t>
            </w:r>
          </w:p>
        </w:tc>
      </w:tr>
      <w:tr w:rsidR="00CE367A" w:rsidRPr="00122E11" w14:paraId="055F62D9" w14:textId="77777777" w:rsidTr="009348B8">
        <w:trPr>
          <w:cantSplit/>
          <w:jc w:val="center"/>
        </w:trPr>
        <w:tc>
          <w:tcPr>
            <w:tcW w:w="5580" w:type="dxa"/>
          </w:tcPr>
          <w:p w14:paraId="256F847D" w14:textId="77777777" w:rsidR="00CE367A" w:rsidRPr="00122E11" w:rsidRDefault="00CE367A" w:rsidP="00E71696">
            <w:r w:rsidRPr="00122E11">
              <w:t>Retained Earnings</w:t>
            </w:r>
          </w:p>
        </w:tc>
        <w:tc>
          <w:tcPr>
            <w:tcW w:w="1685" w:type="dxa"/>
          </w:tcPr>
          <w:p w14:paraId="423A6A9B" w14:textId="77777777" w:rsidR="00CE367A" w:rsidRPr="00122E11" w:rsidRDefault="00CE367A" w:rsidP="00E71696"/>
        </w:tc>
        <w:tc>
          <w:tcPr>
            <w:tcW w:w="1920" w:type="dxa"/>
          </w:tcPr>
          <w:p w14:paraId="561882D1" w14:textId="77777777" w:rsidR="00CE367A" w:rsidRPr="00122E11" w:rsidRDefault="00CE367A" w:rsidP="00E71696"/>
        </w:tc>
      </w:tr>
      <w:tr w:rsidR="00662234" w:rsidRPr="00122E11" w14:paraId="5D277065" w14:textId="77777777" w:rsidTr="009348B8">
        <w:trPr>
          <w:cantSplit/>
          <w:jc w:val="center"/>
        </w:trPr>
        <w:tc>
          <w:tcPr>
            <w:tcW w:w="5580" w:type="dxa"/>
          </w:tcPr>
          <w:p w14:paraId="375FC6EB" w14:textId="77777777" w:rsidR="00662234" w:rsidRPr="00122E11" w:rsidRDefault="00662234" w:rsidP="00E71696">
            <w:r w:rsidRPr="00122E11">
              <w:t>Profit/ (Loss) after Income Tax Expense</w:t>
            </w:r>
          </w:p>
        </w:tc>
        <w:tc>
          <w:tcPr>
            <w:tcW w:w="1685" w:type="dxa"/>
            <w:tcBorders>
              <w:bottom w:val="single" w:sz="4" w:space="0" w:color="auto"/>
            </w:tcBorders>
          </w:tcPr>
          <w:p w14:paraId="705F0607" w14:textId="77777777" w:rsidR="00662234" w:rsidRPr="00122E11" w:rsidRDefault="0074092E" w:rsidP="00E71696">
            <w:r>
              <w:t>(</w:t>
            </w:r>
            <w:r w:rsidR="00D5186E">
              <w:t>818,672</w:t>
            </w:r>
            <w:r>
              <w:t>)</w:t>
            </w:r>
          </w:p>
        </w:tc>
        <w:tc>
          <w:tcPr>
            <w:tcW w:w="1920" w:type="dxa"/>
            <w:tcBorders>
              <w:bottom w:val="single" w:sz="4" w:space="0" w:color="auto"/>
            </w:tcBorders>
          </w:tcPr>
          <w:p w14:paraId="08772086" w14:textId="77777777" w:rsidR="00662234" w:rsidRPr="00122E11" w:rsidRDefault="00662234" w:rsidP="00E71696">
            <w:r w:rsidRPr="00122E11">
              <w:t>(1,427,703)</w:t>
            </w:r>
          </w:p>
        </w:tc>
      </w:tr>
      <w:tr w:rsidR="00662234" w:rsidRPr="00122E11" w14:paraId="3A84FA18" w14:textId="77777777" w:rsidTr="009348B8">
        <w:trPr>
          <w:cantSplit/>
          <w:jc w:val="center"/>
        </w:trPr>
        <w:tc>
          <w:tcPr>
            <w:tcW w:w="5580" w:type="dxa"/>
          </w:tcPr>
          <w:p w14:paraId="4D0FC9FA" w14:textId="77777777" w:rsidR="00662234" w:rsidRPr="00122E11" w:rsidRDefault="00662234" w:rsidP="00E71696"/>
        </w:tc>
        <w:tc>
          <w:tcPr>
            <w:tcW w:w="1685" w:type="dxa"/>
            <w:tcBorders>
              <w:top w:val="single" w:sz="4" w:space="0" w:color="auto"/>
            </w:tcBorders>
          </w:tcPr>
          <w:p w14:paraId="71C45C40" w14:textId="77777777" w:rsidR="00662234" w:rsidRPr="00122E11" w:rsidRDefault="0074092E" w:rsidP="00E71696">
            <w:r>
              <w:t>(</w:t>
            </w:r>
            <w:r w:rsidR="00D5186E">
              <w:t>818,672</w:t>
            </w:r>
            <w:r>
              <w:t>)</w:t>
            </w:r>
          </w:p>
        </w:tc>
        <w:tc>
          <w:tcPr>
            <w:tcW w:w="1920" w:type="dxa"/>
            <w:tcBorders>
              <w:top w:val="single" w:sz="4" w:space="0" w:color="auto"/>
            </w:tcBorders>
          </w:tcPr>
          <w:p w14:paraId="1513FAB0" w14:textId="77777777" w:rsidR="00662234" w:rsidRPr="00122E11" w:rsidRDefault="00662234" w:rsidP="00E71696">
            <w:r w:rsidRPr="00122E11">
              <w:t>(1,427,703)</w:t>
            </w:r>
          </w:p>
        </w:tc>
      </w:tr>
      <w:tr w:rsidR="00662234" w:rsidRPr="00122E11" w14:paraId="56C97214" w14:textId="77777777" w:rsidTr="009348B8">
        <w:trPr>
          <w:cantSplit/>
          <w:jc w:val="center"/>
        </w:trPr>
        <w:tc>
          <w:tcPr>
            <w:tcW w:w="5580" w:type="dxa"/>
          </w:tcPr>
          <w:p w14:paraId="1A7B417D" w14:textId="77777777" w:rsidR="00662234" w:rsidRPr="00122E11" w:rsidRDefault="00662234" w:rsidP="00E71696">
            <w:r w:rsidRPr="00122E11">
              <w:t>Closing Balance</w:t>
            </w:r>
          </w:p>
        </w:tc>
        <w:tc>
          <w:tcPr>
            <w:tcW w:w="1685" w:type="dxa"/>
            <w:tcBorders>
              <w:top w:val="single" w:sz="4" w:space="0" w:color="auto"/>
              <w:bottom w:val="double" w:sz="4" w:space="0" w:color="auto"/>
            </w:tcBorders>
          </w:tcPr>
          <w:p w14:paraId="058C18ED" w14:textId="77777777" w:rsidR="00662234" w:rsidRPr="00122E11" w:rsidRDefault="00D5186E" w:rsidP="00E71696">
            <w:r>
              <w:t>4,742,954</w:t>
            </w:r>
          </w:p>
        </w:tc>
        <w:tc>
          <w:tcPr>
            <w:tcW w:w="1920" w:type="dxa"/>
            <w:tcBorders>
              <w:top w:val="single" w:sz="4" w:space="0" w:color="auto"/>
              <w:bottom w:val="double" w:sz="4" w:space="0" w:color="auto"/>
            </w:tcBorders>
          </w:tcPr>
          <w:p w14:paraId="6AA4FEA2" w14:textId="77777777" w:rsidR="00662234" w:rsidRPr="00122E11" w:rsidRDefault="00662234" w:rsidP="00E71696">
            <w:r w:rsidRPr="00122E11">
              <w:t>5,561,625</w:t>
            </w:r>
          </w:p>
        </w:tc>
      </w:tr>
      <w:tr w:rsidR="00CE367A" w:rsidRPr="00122E11" w14:paraId="39323C4A" w14:textId="77777777" w:rsidTr="009348B8">
        <w:trPr>
          <w:cantSplit/>
          <w:jc w:val="center"/>
        </w:trPr>
        <w:tc>
          <w:tcPr>
            <w:tcW w:w="5580" w:type="dxa"/>
          </w:tcPr>
          <w:p w14:paraId="092A5252" w14:textId="77777777" w:rsidR="00CE367A" w:rsidRPr="00122E11" w:rsidRDefault="00CE367A" w:rsidP="00E71696">
            <w:r w:rsidRPr="00122E11">
              <w:t>Reconciliation of Retained Earnings</w:t>
            </w:r>
          </w:p>
        </w:tc>
        <w:tc>
          <w:tcPr>
            <w:tcW w:w="1685" w:type="dxa"/>
          </w:tcPr>
          <w:p w14:paraId="37A4BA3A" w14:textId="77777777" w:rsidR="00CE367A" w:rsidRPr="00122E11" w:rsidRDefault="00CE367A" w:rsidP="00E71696"/>
        </w:tc>
        <w:tc>
          <w:tcPr>
            <w:tcW w:w="1920" w:type="dxa"/>
          </w:tcPr>
          <w:p w14:paraId="458923E1" w14:textId="77777777" w:rsidR="00CE367A" w:rsidRPr="00122E11" w:rsidRDefault="00CE367A" w:rsidP="00E71696"/>
        </w:tc>
      </w:tr>
      <w:tr w:rsidR="00662234" w:rsidRPr="00122E11" w14:paraId="0B0B2304" w14:textId="77777777" w:rsidTr="009348B8">
        <w:trPr>
          <w:cantSplit/>
          <w:jc w:val="center"/>
        </w:trPr>
        <w:tc>
          <w:tcPr>
            <w:tcW w:w="5580" w:type="dxa"/>
          </w:tcPr>
          <w:p w14:paraId="573FBCA5" w14:textId="77777777" w:rsidR="00662234" w:rsidRPr="00122E11" w:rsidRDefault="00662234" w:rsidP="00E71696">
            <w:r w:rsidRPr="00122E11">
              <w:t>Opening Balance</w:t>
            </w:r>
          </w:p>
        </w:tc>
        <w:tc>
          <w:tcPr>
            <w:tcW w:w="1685" w:type="dxa"/>
          </w:tcPr>
          <w:p w14:paraId="4334F702" w14:textId="77777777" w:rsidR="00662234" w:rsidRPr="00122E11" w:rsidRDefault="0074092E" w:rsidP="00E71696">
            <w:r w:rsidRPr="003E2E18">
              <w:t>5,113,525</w:t>
            </w:r>
          </w:p>
        </w:tc>
        <w:tc>
          <w:tcPr>
            <w:tcW w:w="1920" w:type="dxa"/>
          </w:tcPr>
          <w:p w14:paraId="61F4E53C" w14:textId="77777777" w:rsidR="00662234" w:rsidRPr="00122E11" w:rsidRDefault="00662234" w:rsidP="00E71696">
            <w:r w:rsidRPr="00122E11">
              <w:t>6,541,228</w:t>
            </w:r>
          </w:p>
        </w:tc>
      </w:tr>
      <w:tr w:rsidR="00662234" w:rsidRPr="00122E11" w14:paraId="5FD812A8" w14:textId="77777777" w:rsidTr="009348B8">
        <w:trPr>
          <w:cantSplit/>
          <w:jc w:val="center"/>
        </w:trPr>
        <w:tc>
          <w:tcPr>
            <w:tcW w:w="5580" w:type="dxa"/>
          </w:tcPr>
          <w:p w14:paraId="454AF95D" w14:textId="77777777" w:rsidR="00662234" w:rsidRPr="00122E11" w:rsidRDefault="00662234" w:rsidP="00E71696">
            <w:r w:rsidRPr="00122E11">
              <w:t>Profit/ (Loss) after Income Tax Expense</w:t>
            </w:r>
          </w:p>
        </w:tc>
        <w:tc>
          <w:tcPr>
            <w:tcW w:w="1685" w:type="dxa"/>
            <w:tcBorders>
              <w:bottom w:val="single" w:sz="4" w:space="0" w:color="auto"/>
            </w:tcBorders>
          </w:tcPr>
          <w:p w14:paraId="684D455E" w14:textId="77777777" w:rsidR="00662234" w:rsidRPr="00122E11" w:rsidRDefault="0074092E" w:rsidP="00E71696">
            <w:r>
              <w:t>(</w:t>
            </w:r>
            <w:r w:rsidR="00D5186E">
              <w:t>818,672</w:t>
            </w:r>
            <w:r>
              <w:t>)</w:t>
            </w:r>
          </w:p>
        </w:tc>
        <w:tc>
          <w:tcPr>
            <w:tcW w:w="1920" w:type="dxa"/>
            <w:tcBorders>
              <w:bottom w:val="single" w:sz="4" w:space="0" w:color="auto"/>
            </w:tcBorders>
          </w:tcPr>
          <w:p w14:paraId="776B0628" w14:textId="77777777" w:rsidR="00662234" w:rsidRPr="00122E11" w:rsidRDefault="00662234" w:rsidP="00E71696">
            <w:r w:rsidRPr="00122E11">
              <w:t>(1,427,703)</w:t>
            </w:r>
          </w:p>
        </w:tc>
      </w:tr>
      <w:tr w:rsidR="00662234" w:rsidRPr="00122E11" w14:paraId="6FFDC3B7" w14:textId="77777777" w:rsidTr="009348B8">
        <w:trPr>
          <w:cantSplit/>
          <w:jc w:val="center"/>
        </w:trPr>
        <w:tc>
          <w:tcPr>
            <w:tcW w:w="5580" w:type="dxa"/>
          </w:tcPr>
          <w:p w14:paraId="7F50A70C" w14:textId="77777777" w:rsidR="00662234" w:rsidRPr="00122E11" w:rsidRDefault="00662234" w:rsidP="00E71696">
            <w:r w:rsidRPr="00122E11">
              <w:t>Closing Balance</w:t>
            </w:r>
          </w:p>
        </w:tc>
        <w:tc>
          <w:tcPr>
            <w:tcW w:w="1685" w:type="dxa"/>
            <w:tcBorders>
              <w:top w:val="single" w:sz="4" w:space="0" w:color="auto"/>
              <w:bottom w:val="single" w:sz="4" w:space="0" w:color="auto"/>
            </w:tcBorders>
          </w:tcPr>
          <w:p w14:paraId="54256667" w14:textId="77777777" w:rsidR="00662234" w:rsidRPr="00122E11" w:rsidRDefault="00D5186E" w:rsidP="00E71696">
            <w:r>
              <w:t>4,294,854</w:t>
            </w:r>
          </w:p>
        </w:tc>
        <w:tc>
          <w:tcPr>
            <w:tcW w:w="1920" w:type="dxa"/>
            <w:tcBorders>
              <w:top w:val="single" w:sz="4" w:space="0" w:color="auto"/>
              <w:bottom w:val="single" w:sz="4" w:space="0" w:color="auto"/>
            </w:tcBorders>
          </w:tcPr>
          <w:p w14:paraId="39D65EC0" w14:textId="77777777" w:rsidR="00662234" w:rsidRPr="00122E11" w:rsidRDefault="00662234" w:rsidP="00E71696">
            <w:r w:rsidRPr="00122E11">
              <w:t>5,113,525</w:t>
            </w:r>
          </w:p>
        </w:tc>
      </w:tr>
      <w:tr w:rsidR="009348B8" w:rsidRPr="00122E11" w14:paraId="17F6A184" w14:textId="77777777" w:rsidTr="009348B8">
        <w:trPr>
          <w:cantSplit/>
          <w:jc w:val="center"/>
        </w:trPr>
        <w:tc>
          <w:tcPr>
            <w:tcW w:w="5580" w:type="dxa"/>
          </w:tcPr>
          <w:p w14:paraId="754A26C2" w14:textId="77777777" w:rsidR="009348B8" w:rsidRPr="00122E11" w:rsidRDefault="009348B8" w:rsidP="00E71696">
            <w:r w:rsidRPr="00122E11">
              <w:t>Reconciliation of Reserves</w:t>
            </w:r>
          </w:p>
        </w:tc>
        <w:tc>
          <w:tcPr>
            <w:tcW w:w="1685" w:type="dxa"/>
          </w:tcPr>
          <w:p w14:paraId="38BDD43E" w14:textId="77777777" w:rsidR="009348B8" w:rsidRPr="00122E11" w:rsidRDefault="009348B8" w:rsidP="00E71696"/>
        </w:tc>
        <w:tc>
          <w:tcPr>
            <w:tcW w:w="1920" w:type="dxa"/>
          </w:tcPr>
          <w:p w14:paraId="65841A6D" w14:textId="77777777" w:rsidR="009348B8" w:rsidRPr="00122E11" w:rsidRDefault="009348B8" w:rsidP="00E71696"/>
        </w:tc>
      </w:tr>
      <w:tr w:rsidR="009348B8" w:rsidRPr="00122E11" w14:paraId="5848C23F" w14:textId="77777777" w:rsidTr="009348B8">
        <w:trPr>
          <w:cantSplit/>
          <w:jc w:val="center"/>
        </w:trPr>
        <w:tc>
          <w:tcPr>
            <w:tcW w:w="5580" w:type="dxa"/>
          </w:tcPr>
          <w:p w14:paraId="6B9EF73A" w14:textId="77777777" w:rsidR="009348B8" w:rsidRPr="00122E11" w:rsidRDefault="009348B8" w:rsidP="00E71696">
            <w:r w:rsidRPr="00122E11">
              <w:t>Capital Redemption Reserve</w:t>
            </w:r>
          </w:p>
        </w:tc>
        <w:tc>
          <w:tcPr>
            <w:tcW w:w="1685" w:type="dxa"/>
          </w:tcPr>
          <w:p w14:paraId="4C7F67B4" w14:textId="77777777" w:rsidR="009348B8" w:rsidRPr="00122E11" w:rsidRDefault="009348B8" w:rsidP="00E71696"/>
        </w:tc>
        <w:tc>
          <w:tcPr>
            <w:tcW w:w="1920" w:type="dxa"/>
          </w:tcPr>
          <w:p w14:paraId="4EBA3324" w14:textId="77777777" w:rsidR="009348B8" w:rsidRPr="00122E11" w:rsidRDefault="009348B8" w:rsidP="00E71696"/>
        </w:tc>
      </w:tr>
      <w:tr w:rsidR="00662234" w:rsidRPr="00122E11" w14:paraId="71763778" w14:textId="77777777" w:rsidTr="009348B8">
        <w:trPr>
          <w:cantSplit/>
          <w:jc w:val="center"/>
        </w:trPr>
        <w:tc>
          <w:tcPr>
            <w:tcW w:w="5580" w:type="dxa"/>
          </w:tcPr>
          <w:p w14:paraId="7A50C060" w14:textId="77777777" w:rsidR="00662234" w:rsidRPr="00122E11" w:rsidRDefault="00662234" w:rsidP="00E71696">
            <w:r w:rsidRPr="00122E11">
              <w:t>Opening Balance for the year</w:t>
            </w:r>
          </w:p>
        </w:tc>
        <w:tc>
          <w:tcPr>
            <w:tcW w:w="1685" w:type="dxa"/>
            <w:tcBorders>
              <w:bottom w:val="single" w:sz="4" w:space="0" w:color="auto"/>
            </w:tcBorders>
          </w:tcPr>
          <w:p w14:paraId="06F12CBF" w14:textId="77777777" w:rsidR="00662234" w:rsidRPr="00122E11" w:rsidRDefault="0074092E" w:rsidP="00E71696">
            <w:r>
              <w:t>448,100</w:t>
            </w:r>
          </w:p>
        </w:tc>
        <w:tc>
          <w:tcPr>
            <w:tcW w:w="1920" w:type="dxa"/>
            <w:tcBorders>
              <w:bottom w:val="single" w:sz="4" w:space="0" w:color="auto"/>
            </w:tcBorders>
          </w:tcPr>
          <w:p w14:paraId="6D4E5741" w14:textId="77777777" w:rsidR="00662234" w:rsidRPr="00122E11" w:rsidRDefault="00662234" w:rsidP="00E71696">
            <w:r w:rsidRPr="00122E11">
              <w:t>448,100</w:t>
            </w:r>
          </w:p>
        </w:tc>
      </w:tr>
      <w:tr w:rsidR="00662234" w:rsidRPr="00122E11" w14:paraId="69979391" w14:textId="77777777" w:rsidTr="009348B8">
        <w:trPr>
          <w:cantSplit/>
          <w:jc w:val="center"/>
        </w:trPr>
        <w:tc>
          <w:tcPr>
            <w:tcW w:w="5580" w:type="dxa"/>
          </w:tcPr>
          <w:p w14:paraId="5F3AF54C" w14:textId="77777777" w:rsidR="00662234" w:rsidRPr="00122E11" w:rsidRDefault="00662234" w:rsidP="00E71696">
            <w:r w:rsidRPr="00122E11">
              <w:t>Closing Balance</w:t>
            </w:r>
          </w:p>
        </w:tc>
        <w:tc>
          <w:tcPr>
            <w:tcW w:w="1685" w:type="dxa"/>
            <w:tcBorders>
              <w:top w:val="single" w:sz="4" w:space="0" w:color="auto"/>
              <w:bottom w:val="single" w:sz="4" w:space="0" w:color="auto"/>
            </w:tcBorders>
          </w:tcPr>
          <w:p w14:paraId="73E14471" w14:textId="77777777" w:rsidR="00662234" w:rsidRPr="00122E11" w:rsidRDefault="0074092E" w:rsidP="00E71696">
            <w:r>
              <w:t>448,100</w:t>
            </w:r>
          </w:p>
        </w:tc>
        <w:tc>
          <w:tcPr>
            <w:tcW w:w="1920" w:type="dxa"/>
            <w:tcBorders>
              <w:top w:val="single" w:sz="4" w:space="0" w:color="auto"/>
              <w:bottom w:val="single" w:sz="4" w:space="0" w:color="auto"/>
            </w:tcBorders>
          </w:tcPr>
          <w:p w14:paraId="240B891B" w14:textId="77777777" w:rsidR="00662234" w:rsidRPr="00122E11" w:rsidRDefault="00662234" w:rsidP="00E71696">
            <w:r w:rsidRPr="00122E11">
              <w:t>448,100</w:t>
            </w:r>
          </w:p>
        </w:tc>
      </w:tr>
      <w:tr w:rsidR="00662234" w:rsidRPr="001E59DB" w14:paraId="190F2C72" w14:textId="77777777" w:rsidTr="009348B8">
        <w:trPr>
          <w:cantSplit/>
          <w:jc w:val="center"/>
        </w:trPr>
        <w:tc>
          <w:tcPr>
            <w:tcW w:w="5580" w:type="dxa"/>
          </w:tcPr>
          <w:p w14:paraId="77051BCE" w14:textId="77777777" w:rsidR="00662234" w:rsidRPr="00122E11" w:rsidRDefault="00662234" w:rsidP="00E71696">
            <w:r w:rsidRPr="00122E11">
              <w:t>Total Equity</w:t>
            </w:r>
          </w:p>
        </w:tc>
        <w:tc>
          <w:tcPr>
            <w:tcW w:w="1685" w:type="dxa"/>
            <w:tcBorders>
              <w:top w:val="single" w:sz="4" w:space="0" w:color="auto"/>
              <w:bottom w:val="double" w:sz="4" w:space="0" w:color="auto"/>
            </w:tcBorders>
          </w:tcPr>
          <w:p w14:paraId="1A08B0E3" w14:textId="77777777" w:rsidR="00662234" w:rsidRPr="00122E11" w:rsidRDefault="0074092E" w:rsidP="00E71696">
            <w:r>
              <w:t>4</w:t>
            </w:r>
            <w:r w:rsidR="00D5186E">
              <w:t>,742,954</w:t>
            </w:r>
          </w:p>
        </w:tc>
        <w:tc>
          <w:tcPr>
            <w:tcW w:w="1920" w:type="dxa"/>
            <w:tcBorders>
              <w:top w:val="single" w:sz="4" w:space="0" w:color="auto"/>
              <w:bottom w:val="double" w:sz="4" w:space="0" w:color="auto"/>
            </w:tcBorders>
          </w:tcPr>
          <w:p w14:paraId="5A76C277" w14:textId="77777777" w:rsidR="00662234" w:rsidRPr="00122E11" w:rsidRDefault="00662234" w:rsidP="00E71696">
            <w:r w:rsidRPr="00122E11">
              <w:t>5,561,625</w:t>
            </w:r>
          </w:p>
        </w:tc>
      </w:tr>
    </w:tbl>
    <w:p w14:paraId="322CB46C" w14:textId="77777777" w:rsidR="00603B49" w:rsidRDefault="00603B49" w:rsidP="008266C1">
      <w:pPr>
        <w:jc w:val="center"/>
        <w:rPr>
          <w:i/>
        </w:rPr>
      </w:pPr>
    </w:p>
    <w:p w14:paraId="7628C363" w14:textId="77777777" w:rsidR="00D2400B" w:rsidRPr="008266C1" w:rsidRDefault="00D2400B" w:rsidP="008266C1">
      <w:pPr>
        <w:jc w:val="center"/>
        <w:rPr>
          <w:i/>
        </w:rPr>
        <w:sectPr w:rsidR="00D2400B" w:rsidRPr="008266C1" w:rsidSect="007C6542">
          <w:pgSz w:w="11904" w:h="16836"/>
          <w:pgMar w:top="1440" w:right="1440" w:bottom="1440" w:left="1440" w:header="720" w:footer="288" w:gutter="0"/>
          <w:cols w:space="720"/>
          <w:vAlign w:val="center"/>
          <w:noEndnote/>
          <w:docGrid w:linePitch="299"/>
        </w:sectPr>
      </w:pPr>
      <w:r w:rsidRPr="008266C1">
        <w:rPr>
          <w:i/>
        </w:rPr>
        <w:t>The accompanying notes form part of these financial statements</w:t>
      </w:r>
    </w:p>
    <w:p w14:paraId="14DCB317" w14:textId="7C62FD66" w:rsidR="00D2400B" w:rsidRPr="005132DB" w:rsidRDefault="008266C1" w:rsidP="005132DB">
      <w:pPr>
        <w:pStyle w:val="Heading1"/>
        <w:rPr>
          <w:sz w:val="120"/>
          <w:szCs w:val="120"/>
        </w:rPr>
      </w:pPr>
      <w:bookmarkStart w:id="6" w:name="_Toc340406358"/>
      <w:r w:rsidRPr="005132DB">
        <w:rPr>
          <w:sz w:val="120"/>
          <w:szCs w:val="120"/>
        </w:rPr>
        <w:lastRenderedPageBreak/>
        <w:t>CASH FLOW STATEMENT</w:t>
      </w:r>
      <w:bookmarkEnd w:id="6"/>
    </w:p>
    <w:p w14:paraId="71CF3239" w14:textId="77777777" w:rsidR="00D2400B" w:rsidRPr="008266C1" w:rsidRDefault="009348B8" w:rsidP="00E71696">
      <w:pPr>
        <w:rPr>
          <w:rStyle w:val="Strong"/>
        </w:rPr>
      </w:pPr>
      <w:r w:rsidRPr="008266C1">
        <w:rPr>
          <w:rStyle w:val="Strong"/>
        </w:rPr>
        <w:t xml:space="preserve">For the Year ended 30 June </w:t>
      </w:r>
      <w:r w:rsidR="00EF1D9F" w:rsidRPr="008266C1">
        <w:rPr>
          <w:rStyle w:val="Strong"/>
        </w:rPr>
        <w:t>2016</w:t>
      </w:r>
    </w:p>
    <w:tbl>
      <w:tblPr>
        <w:tblStyle w:val="TableGrid"/>
        <w:tblW w:w="91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ash flow statement items"/>
      </w:tblPr>
      <w:tblGrid>
        <w:gridCol w:w="6014"/>
        <w:gridCol w:w="1552"/>
        <w:gridCol w:w="1619"/>
      </w:tblGrid>
      <w:tr w:rsidR="00C2688A" w:rsidRPr="0033377E" w14:paraId="1C6B01F2" w14:textId="77777777" w:rsidTr="009348B8">
        <w:trPr>
          <w:cnfStyle w:val="100000000000" w:firstRow="1" w:lastRow="0" w:firstColumn="0" w:lastColumn="0" w:oddVBand="0" w:evenVBand="0" w:oddHBand="0" w:evenHBand="0" w:firstRowFirstColumn="0" w:firstRowLastColumn="0" w:lastRowFirstColumn="0" w:lastRowLastColumn="0"/>
          <w:tblHeader/>
          <w:jc w:val="center"/>
        </w:trPr>
        <w:tc>
          <w:tcPr>
            <w:tcW w:w="6014" w:type="dxa"/>
          </w:tcPr>
          <w:p w14:paraId="34C6AFBE" w14:textId="77777777" w:rsidR="00C2688A" w:rsidRPr="0033377E" w:rsidRDefault="004B6061" w:rsidP="00E71696">
            <w:r w:rsidRPr="0033377E">
              <w:br/>
            </w:r>
            <w:r w:rsidR="00C2688A" w:rsidRPr="0033377E">
              <w:t>Cash Flows from Operating</w:t>
            </w:r>
            <w:r w:rsidR="00C2688A" w:rsidRPr="0033377E">
              <w:rPr>
                <w:b w:val="0"/>
              </w:rPr>
              <w:t xml:space="preserve"> </w:t>
            </w:r>
            <w:r w:rsidR="00C2688A" w:rsidRPr="0033377E">
              <w:t>Activities</w:t>
            </w:r>
          </w:p>
        </w:tc>
        <w:tc>
          <w:tcPr>
            <w:tcW w:w="1552" w:type="dxa"/>
          </w:tcPr>
          <w:p w14:paraId="4550C964" w14:textId="77777777" w:rsidR="00C2688A" w:rsidRPr="0033377E" w:rsidRDefault="00EF1D9F" w:rsidP="00E71696">
            <w:r w:rsidRPr="0033377E">
              <w:t>2016</w:t>
            </w:r>
            <w:r w:rsidR="00C2688A" w:rsidRPr="0033377E">
              <w:br/>
              <w:t>$</w:t>
            </w:r>
          </w:p>
        </w:tc>
        <w:tc>
          <w:tcPr>
            <w:tcW w:w="1619" w:type="dxa"/>
          </w:tcPr>
          <w:p w14:paraId="474AD21A" w14:textId="77777777" w:rsidR="00C2688A" w:rsidRPr="0033377E" w:rsidRDefault="00EF1D9F" w:rsidP="00E71696">
            <w:r w:rsidRPr="0033377E">
              <w:t>2015</w:t>
            </w:r>
            <w:r w:rsidR="00C2688A" w:rsidRPr="0033377E">
              <w:br/>
              <w:t>$</w:t>
            </w:r>
          </w:p>
        </w:tc>
      </w:tr>
      <w:tr w:rsidR="00662234" w:rsidRPr="0033377E" w14:paraId="0080D023" w14:textId="77777777" w:rsidTr="009348B8">
        <w:trPr>
          <w:jc w:val="center"/>
        </w:trPr>
        <w:tc>
          <w:tcPr>
            <w:tcW w:w="6014" w:type="dxa"/>
          </w:tcPr>
          <w:p w14:paraId="503653DD" w14:textId="77777777" w:rsidR="00662234" w:rsidRPr="0033377E" w:rsidRDefault="00662234" w:rsidP="00E71696">
            <w:r w:rsidRPr="0033377E">
              <w:t xml:space="preserve">Receipts from Government (Grant) &amp; Access </w:t>
            </w:r>
            <w:proofErr w:type="spellStart"/>
            <w:r w:rsidRPr="0033377E">
              <w:t>iQ</w:t>
            </w:r>
            <w:proofErr w:type="spellEnd"/>
            <w:r w:rsidRPr="0033377E">
              <w:t xml:space="preserve"> &amp; Other revenue</w:t>
            </w:r>
          </w:p>
        </w:tc>
        <w:tc>
          <w:tcPr>
            <w:tcW w:w="1552" w:type="dxa"/>
          </w:tcPr>
          <w:p w14:paraId="4F3C32E8" w14:textId="77777777" w:rsidR="00662234" w:rsidRPr="0033377E" w:rsidRDefault="00532376" w:rsidP="00E71696">
            <w:r w:rsidRPr="0033377E">
              <w:t>813,586</w:t>
            </w:r>
          </w:p>
        </w:tc>
        <w:tc>
          <w:tcPr>
            <w:tcW w:w="1619" w:type="dxa"/>
          </w:tcPr>
          <w:p w14:paraId="5379BE27" w14:textId="77777777" w:rsidR="00662234" w:rsidRPr="0033377E" w:rsidRDefault="00662234" w:rsidP="00E71696">
            <w:r w:rsidRPr="0033377E">
              <w:t>434,931</w:t>
            </w:r>
          </w:p>
        </w:tc>
      </w:tr>
      <w:tr w:rsidR="00662234" w:rsidRPr="0033377E" w14:paraId="5CBA075C" w14:textId="77777777" w:rsidTr="009348B8">
        <w:trPr>
          <w:jc w:val="center"/>
        </w:trPr>
        <w:tc>
          <w:tcPr>
            <w:tcW w:w="6014" w:type="dxa"/>
          </w:tcPr>
          <w:p w14:paraId="68BD8CC1" w14:textId="77777777" w:rsidR="00662234" w:rsidRPr="0033377E" w:rsidRDefault="00662234" w:rsidP="00E71696">
            <w:r w:rsidRPr="0033377E">
              <w:t>Payments to Suppliers and Employees</w:t>
            </w:r>
          </w:p>
        </w:tc>
        <w:tc>
          <w:tcPr>
            <w:tcW w:w="1552" w:type="dxa"/>
          </w:tcPr>
          <w:p w14:paraId="4ACDB13D" w14:textId="77777777" w:rsidR="00662234" w:rsidRPr="0033377E" w:rsidRDefault="00532376" w:rsidP="00E71696">
            <w:r w:rsidRPr="0033377E">
              <w:t>(1,800,625)</w:t>
            </w:r>
          </w:p>
        </w:tc>
        <w:tc>
          <w:tcPr>
            <w:tcW w:w="1619" w:type="dxa"/>
          </w:tcPr>
          <w:p w14:paraId="50155065" w14:textId="77777777" w:rsidR="00662234" w:rsidRPr="0033377E" w:rsidRDefault="00662234" w:rsidP="00E71696">
            <w:r w:rsidRPr="0033377E">
              <w:t>(1,747,626)</w:t>
            </w:r>
          </w:p>
        </w:tc>
      </w:tr>
      <w:tr w:rsidR="00662234" w:rsidRPr="0033377E" w14:paraId="7AE93544" w14:textId="77777777" w:rsidTr="009348B8">
        <w:trPr>
          <w:jc w:val="center"/>
        </w:trPr>
        <w:tc>
          <w:tcPr>
            <w:tcW w:w="6014" w:type="dxa"/>
          </w:tcPr>
          <w:p w14:paraId="67B93800" w14:textId="77777777" w:rsidR="00662234" w:rsidRPr="0033377E" w:rsidRDefault="00662234" w:rsidP="00E71696">
            <w:r w:rsidRPr="0033377E">
              <w:t>Interest / investment distributions received</w:t>
            </w:r>
          </w:p>
        </w:tc>
        <w:tc>
          <w:tcPr>
            <w:tcW w:w="1552" w:type="dxa"/>
            <w:tcBorders>
              <w:bottom w:val="single" w:sz="4" w:space="0" w:color="auto"/>
            </w:tcBorders>
          </w:tcPr>
          <w:p w14:paraId="47A64133" w14:textId="77777777" w:rsidR="00662234" w:rsidRPr="0033377E" w:rsidRDefault="00532376" w:rsidP="00E71696">
            <w:r w:rsidRPr="0033377E">
              <w:t>169,412</w:t>
            </w:r>
          </w:p>
        </w:tc>
        <w:tc>
          <w:tcPr>
            <w:tcW w:w="1619" w:type="dxa"/>
            <w:tcBorders>
              <w:bottom w:val="single" w:sz="4" w:space="0" w:color="auto"/>
            </w:tcBorders>
          </w:tcPr>
          <w:p w14:paraId="50201C44" w14:textId="77777777" w:rsidR="00662234" w:rsidRPr="0033377E" w:rsidRDefault="00662234" w:rsidP="00E71696">
            <w:r w:rsidRPr="0033377E">
              <w:t>614,254</w:t>
            </w:r>
          </w:p>
        </w:tc>
      </w:tr>
      <w:tr w:rsidR="00662234" w:rsidRPr="0033377E" w14:paraId="6A23DFCB" w14:textId="77777777" w:rsidTr="009348B8">
        <w:trPr>
          <w:jc w:val="center"/>
        </w:trPr>
        <w:tc>
          <w:tcPr>
            <w:tcW w:w="6014" w:type="dxa"/>
          </w:tcPr>
          <w:p w14:paraId="5FAD665D" w14:textId="77777777" w:rsidR="00662234" w:rsidRPr="0033377E" w:rsidRDefault="00662234" w:rsidP="00E71696">
            <w:r w:rsidRPr="0033377E">
              <w:t>Net Cash provided / (Used) by Operating Activities</w:t>
            </w:r>
          </w:p>
        </w:tc>
        <w:tc>
          <w:tcPr>
            <w:tcW w:w="1552" w:type="dxa"/>
            <w:tcBorders>
              <w:top w:val="single" w:sz="4" w:space="0" w:color="auto"/>
            </w:tcBorders>
          </w:tcPr>
          <w:p w14:paraId="1A3CF6F2" w14:textId="77777777" w:rsidR="00662234" w:rsidRPr="0033377E" w:rsidRDefault="00532376" w:rsidP="00E71696">
            <w:r w:rsidRPr="0033377E">
              <w:t>(817,627)</w:t>
            </w:r>
          </w:p>
        </w:tc>
        <w:tc>
          <w:tcPr>
            <w:tcW w:w="1619" w:type="dxa"/>
            <w:tcBorders>
              <w:top w:val="single" w:sz="4" w:space="0" w:color="auto"/>
            </w:tcBorders>
          </w:tcPr>
          <w:p w14:paraId="2FDA70BD" w14:textId="77777777" w:rsidR="00662234" w:rsidRPr="0033377E" w:rsidRDefault="00662234" w:rsidP="00E71696">
            <w:r w:rsidRPr="0033377E">
              <w:t>(698,441)</w:t>
            </w:r>
          </w:p>
        </w:tc>
      </w:tr>
      <w:tr w:rsidR="00CE367A" w:rsidRPr="0033377E" w14:paraId="28FAB74E" w14:textId="77777777" w:rsidTr="009348B8">
        <w:trPr>
          <w:jc w:val="center"/>
        </w:trPr>
        <w:tc>
          <w:tcPr>
            <w:tcW w:w="6014" w:type="dxa"/>
          </w:tcPr>
          <w:p w14:paraId="7D4D667A" w14:textId="77777777" w:rsidR="00CE367A" w:rsidRPr="0033377E" w:rsidRDefault="00CE367A" w:rsidP="00E71696">
            <w:r w:rsidRPr="0033377E">
              <w:t>Cash Flows from Investing Activities</w:t>
            </w:r>
          </w:p>
        </w:tc>
        <w:tc>
          <w:tcPr>
            <w:tcW w:w="1552" w:type="dxa"/>
          </w:tcPr>
          <w:p w14:paraId="1D616091" w14:textId="77777777" w:rsidR="00CE367A" w:rsidRPr="0033377E" w:rsidRDefault="00CE367A" w:rsidP="00E71696"/>
        </w:tc>
        <w:tc>
          <w:tcPr>
            <w:tcW w:w="1619" w:type="dxa"/>
          </w:tcPr>
          <w:p w14:paraId="3BC25319" w14:textId="77777777" w:rsidR="00CE367A" w:rsidRPr="0033377E" w:rsidRDefault="00CE367A" w:rsidP="00E71696"/>
        </w:tc>
      </w:tr>
      <w:tr w:rsidR="00662234" w:rsidRPr="0033377E" w14:paraId="118232F0" w14:textId="77777777" w:rsidTr="009348B8">
        <w:trPr>
          <w:jc w:val="center"/>
        </w:trPr>
        <w:tc>
          <w:tcPr>
            <w:tcW w:w="6014" w:type="dxa"/>
          </w:tcPr>
          <w:p w14:paraId="35570148" w14:textId="77777777" w:rsidR="00662234" w:rsidRPr="0033377E" w:rsidRDefault="00662234" w:rsidP="00E71696">
            <w:r w:rsidRPr="0033377E">
              <w:t>Net proceeds (payment) for investment</w:t>
            </w:r>
          </w:p>
        </w:tc>
        <w:tc>
          <w:tcPr>
            <w:tcW w:w="1552" w:type="dxa"/>
          </w:tcPr>
          <w:p w14:paraId="65D8E7BE" w14:textId="77777777" w:rsidR="00662234" w:rsidRPr="0033377E" w:rsidRDefault="00532376" w:rsidP="00E71696">
            <w:r w:rsidRPr="0033377E">
              <w:t>781,301</w:t>
            </w:r>
          </w:p>
        </w:tc>
        <w:tc>
          <w:tcPr>
            <w:tcW w:w="1619" w:type="dxa"/>
          </w:tcPr>
          <w:p w14:paraId="4D3F53E4" w14:textId="77777777" w:rsidR="00662234" w:rsidRPr="0033377E" w:rsidRDefault="00662234" w:rsidP="00E71696">
            <w:r w:rsidRPr="0033377E">
              <w:t>(272,158)</w:t>
            </w:r>
          </w:p>
        </w:tc>
      </w:tr>
      <w:tr w:rsidR="00662234" w:rsidRPr="0033377E" w14:paraId="20FD5D19" w14:textId="77777777" w:rsidTr="009348B8">
        <w:trPr>
          <w:jc w:val="center"/>
        </w:trPr>
        <w:tc>
          <w:tcPr>
            <w:tcW w:w="6014" w:type="dxa"/>
          </w:tcPr>
          <w:p w14:paraId="4AE8E43F" w14:textId="77777777" w:rsidR="00662234" w:rsidRPr="0033377E" w:rsidRDefault="00662234" w:rsidP="00E71696">
            <w:r w:rsidRPr="0033377E">
              <w:t>Payment for property, plant and equipment</w:t>
            </w:r>
          </w:p>
        </w:tc>
        <w:tc>
          <w:tcPr>
            <w:tcW w:w="1552" w:type="dxa"/>
            <w:tcBorders>
              <w:bottom w:val="single" w:sz="4" w:space="0" w:color="auto"/>
            </w:tcBorders>
          </w:tcPr>
          <w:p w14:paraId="63893487" w14:textId="77777777" w:rsidR="00662234" w:rsidRPr="0033377E" w:rsidRDefault="00532376" w:rsidP="00E71696">
            <w:r w:rsidRPr="0033377E">
              <w:t>(2,390)</w:t>
            </w:r>
          </w:p>
        </w:tc>
        <w:tc>
          <w:tcPr>
            <w:tcW w:w="1619" w:type="dxa"/>
            <w:tcBorders>
              <w:bottom w:val="single" w:sz="4" w:space="0" w:color="auto"/>
            </w:tcBorders>
          </w:tcPr>
          <w:p w14:paraId="21B1119C" w14:textId="77777777" w:rsidR="00662234" w:rsidRPr="0033377E" w:rsidRDefault="00662234" w:rsidP="00E71696">
            <w:r w:rsidRPr="0033377E">
              <w:t>(6,017)</w:t>
            </w:r>
          </w:p>
        </w:tc>
      </w:tr>
      <w:tr w:rsidR="00662234" w:rsidRPr="0033377E" w14:paraId="6466955B" w14:textId="77777777" w:rsidTr="009348B8">
        <w:trPr>
          <w:jc w:val="center"/>
        </w:trPr>
        <w:tc>
          <w:tcPr>
            <w:tcW w:w="6014" w:type="dxa"/>
          </w:tcPr>
          <w:p w14:paraId="32E9503D" w14:textId="77777777" w:rsidR="00662234" w:rsidRPr="0033377E" w:rsidRDefault="00662234" w:rsidP="00E71696">
            <w:r w:rsidRPr="0033377E">
              <w:t>Net cash provided / (Used) by investing activities</w:t>
            </w:r>
          </w:p>
        </w:tc>
        <w:tc>
          <w:tcPr>
            <w:tcW w:w="1552" w:type="dxa"/>
            <w:tcBorders>
              <w:top w:val="single" w:sz="4" w:space="0" w:color="auto"/>
              <w:bottom w:val="single" w:sz="4" w:space="0" w:color="auto"/>
            </w:tcBorders>
          </w:tcPr>
          <w:p w14:paraId="3BB80AED" w14:textId="77777777" w:rsidR="00662234" w:rsidRPr="0033377E" w:rsidRDefault="00532376" w:rsidP="00E71696">
            <w:r w:rsidRPr="0033377E">
              <w:t>778,911</w:t>
            </w:r>
          </w:p>
        </w:tc>
        <w:tc>
          <w:tcPr>
            <w:tcW w:w="1619" w:type="dxa"/>
            <w:tcBorders>
              <w:top w:val="single" w:sz="4" w:space="0" w:color="auto"/>
              <w:bottom w:val="single" w:sz="4" w:space="0" w:color="auto"/>
            </w:tcBorders>
          </w:tcPr>
          <w:p w14:paraId="1E880CFA" w14:textId="77777777" w:rsidR="00662234" w:rsidRPr="0033377E" w:rsidRDefault="00662234" w:rsidP="00E71696">
            <w:r w:rsidRPr="0033377E">
              <w:t>(278,175)</w:t>
            </w:r>
          </w:p>
        </w:tc>
      </w:tr>
      <w:tr w:rsidR="00662234" w:rsidRPr="0033377E" w14:paraId="1BD99FEA" w14:textId="77777777" w:rsidTr="009348B8">
        <w:trPr>
          <w:jc w:val="center"/>
        </w:trPr>
        <w:tc>
          <w:tcPr>
            <w:tcW w:w="6014" w:type="dxa"/>
          </w:tcPr>
          <w:p w14:paraId="4E7CA949" w14:textId="77777777" w:rsidR="00662234" w:rsidRPr="0033377E" w:rsidRDefault="00662234" w:rsidP="00E71696">
            <w:r w:rsidRPr="0033377E">
              <w:t>Net decrease / (Decrease) in Cash Held</w:t>
            </w:r>
          </w:p>
        </w:tc>
        <w:tc>
          <w:tcPr>
            <w:tcW w:w="1552" w:type="dxa"/>
            <w:tcBorders>
              <w:top w:val="single" w:sz="4" w:space="0" w:color="auto"/>
            </w:tcBorders>
          </w:tcPr>
          <w:p w14:paraId="1F773E92" w14:textId="77777777" w:rsidR="00662234" w:rsidRPr="0033377E" w:rsidRDefault="00532376" w:rsidP="00E71696">
            <w:r w:rsidRPr="0033377E">
              <w:t>(38,716)</w:t>
            </w:r>
          </w:p>
        </w:tc>
        <w:tc>
          <w:tcPr>
            <w:tcW w:w="1619" w:type="dxa"/>
            <w:tcBorders>
              <w:top w:val="single" w:sz="4" w:space="0" w:color="auto"/>
            </w:tcBorders>
          </w:tcPr>
          <w:p w14:paraId="3CA833D7" w14:textId="77777777" w:rsidR="00662234" w:rsidRPr="0033377E" w:rsidRDefault="00662234" w:rsidP="00E71696">
            <w:r w:rsidRPr="0033377E">
              <w:t>(976,616)</w:t>
            </w:r>
          </w:p>
        </w:tc>
      </w:tr>
      <w:tr w:rsidR="00662234" w:rsidRPr="0033377E" w14:paraId="1931C796" w14:textId="77777777" w:rsidTr="009348B8">
        <w:trPr>
          <w:jc w:val="center"/>
        </w:trPr>
        <w:tc>
          <w:tcPr>
            <w:tcW w:w="6014" w:type="dxa"/>
          </w:tcPr>
          <w:p w14:paraId="06D8A190" w14:textId="77777777" w:rsidR="00662234" w:rsidRPr="0033377E" w:rsidRDefault="00662234" w:rsidP="00E71696">
            <w:r w:rsidRPr="0033377E">
              <w:t>Cash at the beginning of the financial year</w:t>
            </w:r>
          </w:p>
        </w:tc>
        <w:tc>
          <w:tcPr>
            <w:tcW w:w="1552" w:type="dxa"/>
          </w:tcPr>
          <w:p w14:paraId="3FBAC4B7" w14:textId="77777777" w:rsidR="00662234" w:rsidRPr="0033377E" w:rsidRDefault="00532376" w:rsidP="00E71696">
            <w:r w:rsidRPr="0033377E">
              <w:t>1,076,624</w:t>
            </w:r>
          </w:p>
        </w:tc>
        <w:tc>
          <w:tcPr>
            <w:tcW w:w="1619" w:type="dxa"/>
          </w:tcPr>
          <w:p w14:paraId="7B196B2E" w14:textId="77777777" w:rsidR="00662234" w:rsidRPr="0033377E" w:rsidRDefault="00662234" w:rsidP="00E71696">
            <w:r w:rsidRPr="0033377E">
              <w:t>2,053,240</w:t>
            </w:r>
          </w:p>
        </w:tc>
      </w:tr>
      <w:tr w:rsidR="00662234" w:rsidRPr="00D40661" w14:paraId="5ED19FD1" w14:textId="77777777" w:rsidTr="009348B8">
        <w:trPr>
          <w:jc w:val="center"/>
        </w:trPr>
        <w:tc>
          <w:tcPr>
            <w:tcW w:w="6014" w:type="dxa"/>
          </w:tcPr>
          <w:p w14:paraId="25C29358" w14:textId="77777777" w:rsidR="00662234" w:rsidRPr="0033377E" w:rsidRDefault="00662234" w:rsidP="00E71696">
            <w:r w:rsidRPr="0033377E">
              <w:t>Cash and Cash Equivalents as at 30 June 2016</w:t>
            </w:r>
          </w:p>
        </w:tc>
        <w:tc>
          <w:tcPr>
            <w:tcW w:w="1552" w:type="dxa"/>
            <w:tcBorders>
              <w:top w:val="single" w:sz="4" w:space="0" w:color="auto"/>
              <w:bottom w:val="double" w:sz="4" w:space="0" w:color="auto"/>
            </w:tcBorders>
          </w:tcPr>
          <w:p w14:paraId="349B663E" w14:textId="77777777" w:rsidR="00662234" w:rsidRPr="0033377E" w:rsidRDefault="00532376" w:rsidP="00E71696">
            <w:r w:rsidRPr="0033377E">
              <w:t>1,037,908</w:t>
            </w:r>
          </w:p>
        </w:tc>
        <w:tc>
          <w:tcPr>
            <w:tcW w:w="1619" w:type="dxa"/>
            <w:tcBorders>
              <w:top w:val="single" w:sz="4" w:space="0" w:color="auto"/>
              <w:bottom w:val="double" w:sz="4" w:space="0" w:color="auto"/>
            </w:tcBorders>
          </w:tcPr>
          <w:p w14:paraId="48AE391B" w14:textId="77777777" w:rsidR="00662234" w:rsidRPr="00122E11" w:rsidRDefault="00662234" w:rsidP="00E71696">
            <w:r w:rsidRPr="0033377E">
              <w:t>1,076,624</w:t>
            </w:r>
          </w:p>
        </w:tc>
      </w:tr>
    </w:tbl>
    <w:p w14:paraId="78125864" w14:textId="77777777" w:rsidR="00603B49" w:rsidRDefault="00603B49" w:rsidP="008266C1">
      <w:pPr>
        <w:jc w:val="center"/>
        <w:rPr>
          <w:i/>
        </w:rPr>
      </w:pPr>
    </w:p>
    <w:p w14:paraId="2AECFB0E" w14:textId="5E821D5F" w:rsidR="00D2400B" w:rsidRPr="008266C1" w:rsidRDefault="00D2400B" w:rsidP="008266C1">
      <w:pPr>
        <w:jc w:val="center"/>
        <w:rPr>
          <w:i/>
        </w:rPr>
        <w:sectPr w:rsidR="00D2400B" w:rsidRPr="008266C1" w:rsidSect="007C6542">
          <w:pgSz w:w="11904" w:h="16836"/>
          <w:pgMar w:top="1440" w:right="1440" w:bottom="1440" w:left="1440" w:header="720" w:footer="0" w:gutter="0"/>
          <w:cols w:space="720"/>
          <w:vAlign w:val="center"/>
          <w:noEndnote/>
          <w:docGrid w:linePitch="299"/>
        </w:sectPr>
      </w:pPr>
      <w:r w:rsidRPr="008266C1">
        <w:rPr>
          <w:i/>
        </w:rPr>
        <w:t>The accompanying notes form pa</w:t>
      </w:r>
      <w:r w:rsidR="005132DB">
        <w:rPr>
          <w:i/>
        </w:rPr>
        <w:t>rt of these financial statement</w:t>
      </w:r>
    </w:p>
    <w:p w14:paraId="606811AA" w14:textId="28A9603E" w:rsidR="00D2400B" w:rsidRPr="005132DB" w:rsidRDefault="008266C1" w:rsidP="005132DB">
      <w:pPr>
        <w:pStyle w:val="Heading1"/>
        <w:rPr>
          <w:sz w:val="96"/>
          <w:szCs w:val="96"/>
        </w:rPr>
      </w:pPr>
      <w:bookmarkStart w:id="7" w:name="_Toc340406359"/>
      <w:r w:rsidRPr="005132DB">
        <w:rPr>
          <w:sz w:val="96"/>
          <w:szCs w:val="96"/>
        </w:rPr>
        <w:lastRenderedPageBreak/>
        <w:t>NOTES TO THE FINANCIAL STATEMENTS</w:t>
      </w:r>
      <w:bookmarkEnd w:id="7"/>
    </w:p>
    <w:p w14:paraId="137A8ED6" w14:textId="77777777" w:rsidR="00D2400B" w:rsidRPr="008266C1" w:rsidRDefault="009348B8" w:rsidP="00E71696">
      <w:pPr>
        <w:rPr>
          <w:rStyle w:val="Strong"/>
        </w:rPr>
      </w:pPr>
      <w:r w:rsidRPr="008266C1">
        <w:rPr>
          <w:rStyle w:val="Strong"/>
        </w:rPr>
        <w:t xml:space="preserve">For the Year ended 30 June </w:t>
      </w:r>
      <w:r w:rsidR="00EF1D9F" w:rsidRPr="008266C1">
        <w:rPr>
          <w:rStyle w:val="Strong"/>
        </w:rPr>
        <w:t>2016</w:t>
      </w:r>
    </w:p>
    <w:p w14:paraId="5FC666AE" w14:textId="54D4E5D1" w:rsidR="00D2400B" w:rsidRDefault="008266C1" w:rsidP="005132DB">
      <w:pPr>
        <w:pStyle w:val="Heading2"/>
      </w:pPr>
      <w:r w:rsidRPr="008266C1">
        <w:t xml:space="preserve">1. </w:t>
      </w:r>
      <w:r w:rsidR="00FD0325" w:rsidRPr="008266C1">
        <w:t>Statement of significant accounting policies</w:t>
      </w:r>
    </w:p>
    <w:p w14:paraId="4D81B10C" w14:textId="7D3262B9" w:rsidR="00A91C0E" w:rsidRPr="00B0347E" w:rsidRDefault="00A91C0E" w:rsidP="004D0D34">
      <w:pPr>
        <w:pStyle w:val="Heading2"/>
        <w:rPr>
          <w:rStyle w:val="IntenseEmphasis"/>
          <w:b/>
        </w:rPr>
      </w:pPr>
      <w:r w:rsidRPr="00B0347E">
        <w:rPr>
          <w:rStyle w:val="IntenseEmphasis"/>
          <w:b/>
        </w:rPr>
        <w:t>Basis of Preparation</w:t>
      </w:r>
    </w:p>
    <w:p w14:paraId="08C7CD1E" w14:textId="41AFB917" w:rsidR="00D2400B" w:rsidRDefault="00D2400B" w:rsidP="00E71696">
      <w:r>
        <w:t>The financial report is a general purpose financial report that has been prepared in accordance with Australian Accounting Standards (including Australian Accounting Interpretations) and the Corporations Act 2001.</w:t>
      </w:r>
      <w:r w:rsidR="004B4192">
        <w:t>w</w:t>
      </w:r>
    </w:p>
    <w:p w14:paraId="7414B2B7" w14:textId="77777777" w:rsidR="00D2400B" w:rsidRDefault="00D2400B" w:rsidP="00E71696">
      <w:r>
        <w:t>Australian Accounting Standards set out accounting policies that the AASB has concluded would result in a financial report containing relevant and reliable information about transactions, events and conditions. Compliance with Australian Accounting Standards ensures that the financial statements and notes also comply with International Financial Reporting Standards. Material accounting policies adopted in the preparation of this financial report are presented below and have been consistently applied unless otherwise stated.</w:t>
      </w:r>
    </w:p>
    <w:p w14:paraId="591906DF" w14:textId="77777777" w:rsidR="00D2400B" w:rsidRDefault="00D2400B" w:rsidP="00E71696">
      <w:r>
        <w:t>The financial report has been prepared on an accruals basis and is based on historical costs, modified, where applicable, by the measurement at fair value of selected non-current assets, financial assets and financial liabilities.</w:t>
      </w:r>
    </w:p>
    <w:p w14:paraId="72D5E744" w14:textId="77777777" w:rsidR="00603B49" w:rsidRDefault="00603B49" w:rsidP="008266C1">
      <w:pPr>
        <w:jc w:val="center"/>
        <w:rPr>
          <w:i/>
        </w:rPr>
      </w:pPr>
    </w:p>
    <w:p w14:paraId="2EA7DC28" w14:textId="4189C5BC" w:rsidR="008266C1" w:rsidRDefault="008266C1" w:rsidP="008266C1">
      <w:pPr>
        <w:jc w:val="center"/>
      </w:pPr>
      <w:r w:rsidRPr="008266C1">
        <w:rPr>
          <w:i/>
        </w:rPr>
        <w:t>These notes form part of the financial statements</w:t>
      </w:r>
      <w:r>
        <w:br w:type="page"/>
      </w:r>
    </w:p>
    <w:p w14:paraId="30298489" w14:textId="06816FBA" w:rsidR="00D2400B" w:rsidRDefault="00D2400B" w:rsidP="00E71696">
      <w:r w:rsidRPr="00D16AD1">
        <w:lastRenderedPageBreak/>
        <w:t>The accounting policies that have been adopted in the preparation of this report are as follows:</w:t>
      </w:r>
    </w:p>
    <w:p w14:paraId="43CE4859" w14:textId="77777777" w:rsidR="00FD0325" w:rsidRPr="0083231D" w:rsidRDefault="00FD0325" w:rsidP="005132DB">
      <w:pPr>
        <w:pStyle w:val="Heading3"/>
        <w:numPr>
          <w:ilvl w:val="1"/>
          <w:numId w:val="13"/>
        </w:numPr>
        <w:ind w:left="426" w:hanging="426"/>
      </w:pPr>
      <w:r w:rsidRPr="0083231D">
        <w:t>Revenue</w:t>
      </w:r>
    </w:p>
    <w:p w14:paraId="5BBA4A3C" w14:textId="77777777" w:rsidR="00D2400B" w:rsidRPr="00403F30" w:rsidRDefault="00D2400B" w:rsidP="008266C1">
      <w:pPr>
        <w:ind w:left="426"/>
      </w:pPr>
      <w:r w:rsidRPr="00403F30">
        <w:t>Grant revenue is recogni</w:t>
      </w:r>
      <w:r>
        <w:t>s</w:t>
      </w:r>
      <w:r w:rsidRPr="00403F30">
        <w:t xml:space="preserve">ed in the income statement when it is controlled. When there are conditions attached to grant revenue relating to the use of those grants </w:t>
      </w:r>
      <w:r>
        <w:t>for specific purpose it is recogni</w:t>
      </w:r>
      <w:r w:rsidRPr="00403F30">
        <w:t>sed</w:t>
      </w:r>
      <w:r>
        <w:t xml:space="preserve"> </w:t>
      </w:r>
      <w:r w:rsidRPr="00403F30">
        <w:t>in the balance sheet as a liability until such conditions are met or services provided.</w:t>
      </w:r>
    </w:p>
    <w:p w14:paraId="14BEB9B7" w14:textId="77777777" w:rsidR="00D2400B" w:rsidRPr="00403F30" w:rsidRDefault="00D2400B" w:rsidP="008266C1">
      <w:pPr>
        <w:ind w:left="426"/>
      </w:pPr>
      <w:r w:rsidRPr="00403F30">
        <w:t>Don</w:t>
      </w:r>
      <w:r>
        <w:t>ations and bequests are recognis</w:t>
      </w:r>
      <w:r w:rsidRPr="00403F30">
        <w:t>ed as revenue when received unless they are designated</w:t>
      </w:r>
      <w:r>
        <w:t xml:space="preserve"> </w:t>
      </w:r>
      <w:r w:rsidRPr="00403F30">
        <w:t>for a specific purpose, where they are carried forward as prepaid income on the balance sheet.</w:t>
      </w:r>
    </w:p>
    <w:p w14:paraId="73E753C1" w14:textId="77777777" w:rsidR="00D2400B" w:rsidRPr="00403F30" w:rsidRDefault="00D2400B" w:rsidP="008266C1">
      <w:pPr>
        <w:ind w:left="426"/>
      </w:pPr>
      <w:r w:rsidRPr="00403F30">
        <w:t>Interest revenue and distribution inc</w:t>
      </w:r>
      <w:r>
        <w:t>ome from investments is recognis</w:t>
      </w:r>
      <w:r w:rsidRPr="00403F30">
        <w:t>ed on a proportional</w:t>
      </w:r>
      <w:r>
        <w:t xml:space="preserve"> </w:t>
      </w:r>
      <w:r w:rsidRPr="00403F30">
        <w:t>basis taking into account the interest rates applicable to the financial assets.</w:t>
      </w:r>
    </w:p>
    <w:p w14:paraId="0C850EC0" w14:textId="77777777" w:rsidR="00D2400B" w:rsidRPr="00403F30" w:rsidRDefault="00D2400B" w:rsidP="008266C1">
      <w:pPr>
        <w:ind w:left="426"/>
      </w:pPr>
      <w:r w:rsidRPr="00403F30">
        <w:t>Revenue from the rendering of a service is recogni</w:t>
      </w:r>
      <w:r>
        <w:t>s</w:t>
      </w:r>
      <w:r w:rsidRPr="00403F30">
        <w:t>ed upon the delivery of the service to the customers.</w:t>
      </w:r>
    </w:p>
    <w:p w14:paraId="214108E2" w14:textId="19A89207" w:rsidR="00D2400B" w:rsidRDefault="00D2400B" w:rsidP="008266C1">
      <w:pPr>
        <w:ind w:left="426"/>
      </w:pPr>
      <w:r w:rsidRPr="00403F30">
        <w:t>All revenue is stated net of the amount of goods and services tax (GST).</w:t>
      </w:r>
    </w:p>
    <w:p w14:paraId="72F6DBEC" w14:textId="77777777" w:rsidR="008266C1" w:rsidRPr="008266C1" w:rsidRDefault="008266C1" w:rsidP="008266C1">
      <w:pPr>
        <w:ind w:left="426"/>
        <w:rPr>
          <w:i/>
        </w:rPr>
      </w:pPr>
    </w:p>
    <w:p w14:paraId="5673778C" w14:textId="77777777" w:rsidR="008841DC" w:rsidRPr="0083231D" w:rsidRDefault="008841DC" w:rsidP="005132DB">
      <w:pPr>
        <w:pStyle w:val="Heading3"/>
        <w:numPr>
          <w:ilvl w:val="1"/>
          <w:numId w:val="13"/>
        </w:numPr>
        <w:ind w:left="426" w:hanging="426"/>
      </w:pPr>
      <w:r w:rsidRPr="00FD0325">
        <w:t>Cash and Cash Equivalents</w:t>
      </w:r>
    </w:p>
    <w:p w14:paraId="26BE198E" w14:textId="77777777" w:rsidR="008841DC" w:rsidRDefault="008841DC" w:rsidP="008266C1">
      <w:pPr>
        <w:ind w:left="426"/>
      </w:pPr>
      <w:r w:rsidRPr="00FD0325">
        <w:t>Cash and cash equivalents include cash on hand, deposits held at call with banks, other short-term highly liquid investments with original maturities of three months or less, and bank overdrafts.</w:t>
      </w:r>
    </w:p>
    <w:p w14:paraId="13160E1F" w14:textId="77777777" w:rsidR="00603B49" w:rsidRDefault="00603B49" w:rsidP="008266C1">
      <w:pPr>
        <w:spacing w:after="200"/>
        <w:ind w:right="0"/>
        <w:jc w:val="center"/>
        <w:rPr>
          <w:i/>
        </w:rPr>
      </w:pPr>
    </w:p>
    <w:p w14:paraId="035FF495" w14:textId="375B6E7A" w:rsidR="008266C1" w:rsidRDefault="008266C1" w:rsidP="008266C1">
      <w:pPr>
        <w:spacing w:after="200"/>
        <w:ind w:right="0"/>
        <w:jc w:val="center"/>
      </w:pPr>
      <w:r w:rsidRPr="008266C1">
        <w:rPr>
          <w:i/>
        </w:rPr>
        <w:t>These notes form part of the financial statements</w:t>
      </w:r>
      <w:r>
        <w:t xml:space="preserve"> </w:t>
      </w:r>
      <w:r>
        <w:br w:type="page"/>
      </w:r>
    </w:p>
    <w:p w14:paraId="3533D608" w14:textId="77777777" w:rsidR="008266C1" w:rsidRPr="00FD0325" w:rsidRDefault="008266C1" w:rsidP="008266C1">
      <w:pPr>
        <w:ind w:left="426"/>
      </w:pPr>
    </w:p>
    <w:p w14:paraId="65E716BA" w14:textId="77777777" w:rsidR="00D24DFC" w:rsidRPr="0083231D" w:rsidRDefault="00D2400B" w:rsidP="005132DB">
      <w:pPr>
        <w:pStyle w:val="Heading3"/>
        <w:numPr>
          <w:ilvl w:val="1"/>
          <w:numId w:val="13"/>
        </w:numPr>
        <w:ind w:left="426" w:hanging="426"/>
      </w:pPr>
      <w:r w:rsidRPr="00E171F7">
        <w:t>Property, Plant and Equipment</w:t>
      </w:r>
    </w:p>
    <w:p w14:paraId="6D5FDBF9" w14:textId="77777777" w:rsidR="00D2400B" w:rsidRDefault="00D2400B" w:rsidP="008266C1">
      <w:pPr>
        <w:ind w:left="426"/>
      </w:pPr>
      <w:r>
        <w:t>Each class of property, plant and equipment is carried at cost o</w:t>
      </w:r>
      <w:r w:rsidR="00E171F7">
        <w:t xml:space="preserve">r fair value as indicated less, </w:t>
      </w:r>
      <w:r>
        <w:t>where applicable, any accumulated depreciation and impairment losses.</w:t>
      </w:r>
    </w:p>
    <w:p w14:paraId="6CE0A706" w14:textId="605E9E5B" w:rsidR="00A91C0E" w:rsidRPr="00A91C0E" w:rsidRDefault="00A91C0E" w:rsidP="00022082">
      <w:pPr>
        <w:pStyle w:val="Heading4"/>
        <w:ind w:left="426"/>
      </w:pPr>
      <w:r w:rsidRPr="00A91C0E">
        <w:t>Plant and Equipment</w:t>
      </w:r>
    </w:p>
    <w:p w14:paraId="7AF4EE1B" w14:textId="77777777" w:rsidR="00D2400B" w:rsidRDefault="00D2400B" w:rsidP="008266C1">
      <w:pPr>
        <w:ind w:left="426"/>
        <w:rPr>
          <w:sz w:val="24"/>
          <w:szCs w:val="24"/>
        </w:rPr>
      </w:pPr>
      <w:r>
        <w:t xml:space="preserve">Plant and equipment are measured on the cost basis less depreciation and impairment losses. </w:t>
      </w:r>
    </w:p>
    <w:p w14:paraId="215F7B58" w14:textId="77777777" w:rsidR="00D2400B" w:rsidRDefault="00D2400B" w:rsidP="008266C1">
      <w:pPr>
        <w:ind w:left="426"/>
      </w:pPr>
      <w:r>
        <w:t>The carrying amount of plant and equipment is reviewed annually by directors to ensure it is not in excess of the recoverable amount from these assets. The recoverable amount is assessed on the basis of the expected net cash flows that will be received from the assets’ employment and subsequent disposal. The expected net cash flows have been discounted to their present values in determining recoverable amounts.</w:t>
      </w:r>
    </w:p>
    <w:p w14:paraId="670BAA6B" w14:textId="77777777" w:rsidR="00D2400B" w:rsidRDefault="00D2400B" w:rsidP="008266C1">
      <w:pPr>
        <w:ind w:left="426"/>
      </w:pPr>
      <w:r>
        <w:t>Plant and equipment that have been contributed at no cost or for nominal cost are valued at the fair value of the asset at the date it is acquired.</w:t>
      </w:r>
    </w:p>
    <w:p w14:paraId="4595C7B4" w14:textId="77777777" w:rsidR="00D2400B" w:rsidRDefault="00D2400B" w:rsidP="008266C1">
      <w:pPr>
        <w:ind w:left="426"/>
      </w:pPr>
      <w:r>
        <w:t xml:space="preserve">Increases in the carrying amount arising on revaluation of land and building are credited to a revaluation reserve in equity. Decreases that offset previous increases of the same class of assets are charged against fair value reserves directly in equity; all other decreases are charged to the income statement. Each year the difference between depreciation based on the revalued carrying amount of the asset charged to the income statement and depreciation based on the revalued carrying amount of the asset charged to the income statement and depreciation based on the asset’s original cost is transferred from the revaluation reserve to retained earnings. </w:t>
      </w:r>
    </w:p>
    <w:p w14:paraId="50287CD3" w14:textId="77777777" w:rsidR="00603B49" w:rsidRDefault="00603B49" w:rsidP="00A91C0E">
      <w:pPr>
        <w:jc w:val="center"/>
        <w:rPr>
          <w:i/>
        </w:rPr>
      </w:pPr>
    </w:p>
    <w:p w14:paraId="68FFF1D8" w14:textId="78F4C4F7" w:rsidR="008841DC" w:rsidRPr="00A91C0E" w:rsidRDefault="008841DC" w:rsidP="00A91C0E">
      <w:pPr>
        <w:jc w:val="center"/>
        <w:rPr>
          <w:i/>
        </w:rPr>
      </w:pPr>
      <w:r w:rsidRPr="008266C1">
        <w:rPr>
          <w:i/>
        </w:rPr>
        <w:t>These notes form part of the financial statements</w:t>
      </w:r>
      <w:r w:rsidRPr="008266C1">
        <w:rPr>
          <w:rFonts w:ascii="Times New Roman" w:hAnsi="Times New Roman"/>
          <w:i/>
          <w:color w:val="000000"/>
        </w:rPr>
        <w:br w:type="page"/>
      </w:r>
    </w:p>
    <w:p w14:paraId="22B7C443" w14:textId="64E326C1" w:rsidR="00022082" w:rsidRPr="00022082" w:rsidRDefault="00022082" w:rsidP="00022082">
      <w:pPr>
        <w:pStyle w:val="Heading4"/>
        <w:ind w:left="426"/>
      </w:pPr>
      <w:r w:rsidRPr="00022082">
        <w:lastRenderedPageBreak/>
        <w:t>Depreciation</w:t>
      </w:r>
    </w:p>
    <w:p w14:paraId="47C44E5F" w14:textId="77777777" w:rsidR="00A91C0E" w:rsidRDefault="00A91C0E" w:rsidP="00A91C0E">
      <w:pPr>
        <w:ind w:left="426"/>
      </w:pPr>
      <w:r>
        <w:t>The depreciable amount of all fixed assets including building and capitalised lease assets, but excluding freehold land, is depreciated on a straight line basis over their useful lives to the entity commencing from the time the asset is held ready for use. Leasehold improvements are depreciated over the shorter of either the unexpired period of the lease or the estimated useful lives of the improvements.</w:t>
      </w:r>
    </w:p>
    <w:p w14:paraId="2BA34D6D" w14:textId="77777777" w:rsidR="00D2400B" w:rsidRDefault="00D2400B" w:rsidP="00A91C0E">
      <w:pPr>
        <w:ind w:left="426"/>
        <w:rPr>
          <w:sz w:val="24"/>
          <w:szCs w:val="24"/>
        </w:rPr>
      </w:pPr>
      <w:r>
        <w:t>The depreciation rates used for each class of depreciable asset are:</w:t>
      </w:r>
    </w:p>
    <w:p w14:paraId="32DE1E79" w14:textId="77777777" w:rsidR="00D2400B" w:rsidRPr="00E171F7" w:rsidRDefault="00D2400B" w:rsidP="00A91C0E">
      <w:pPr>
        <w:pStyle w:val="ListParagraph"/>
        <w:numPr>
          <w:ilvl w:val="0"/>
          <w:numId w:val="15"/>
        </w:numPr>
        <w:ind w:left="1134"/>
        <w:rPr>
          <w:sz w:val="24"/>
          <w:szCs w:val="24"/>
        </w:rPr>
      </w:pPr>
      <w:r w:rsidRPr="00002668">
        <w:t>Office Equipment</w:t>
      </w:r>
      <w:r w:rsidR="00E171F7">
        <w:rPr>
          <w:sz w:val="24"/>
          <w:szCs w:val="24"/>
        </w:rPr>
        <w:t xml:space="preserve">, </w:t>
      </w:r>
      <w:r w:rsidRPr="00002668">
        <w:t>25 %</w:t>
      </w:r>
    </w:p>
    <w:p w14:paraId="0E43D390" w14:textId="77777777" w:rsidR="00D2400B" w:rsidRPr="00E171F7" w:rsidRDefault="00D2400B" w:rsidP="00A91C0E">
      <w:pPr>
        <w:pStyle w:val="ListParagraph"/>
        <w:numPr>
          <w:ilvl w:val="0"/>
          <w:numId w:val="15"/>
        </w:numPr>
        <w:ind w:left="1134"/>
        <w:rPr>
          <w:sz w:val="24"/>
          <w:szCs w:val="24"/>
        </w:rPr>
      </w:pPr>
      <w:r w:rsidRPr="00002668">
        <w:t>Furniture</w:t>
      </w:r>
      <w:r w:rsidR="00E171F7">
        <w:rPr>
          <w:sz w:val="24"/>
          <w:szCs w:val="24"/>
        </w:rPr>
        <w:t xml:space="preserve">, </w:t>
      </w:r>
      <w:r w:rsidRPr="00002668">
        <w:t>20 %</w:t>
      </w:r>
    </w:p>
    <w:p w14:paraId="5B17F95A" w14:textId="77777777" w:rsidR="00D2400B" w:rsidRPr="00E171F7" w:rsidRDefault="00D2400B" w:rsidP="00A91C0E">
      <w:pPr>
        <w:pStyle w:val="ListParagraph"/>
        <w:numPr>
          <w:ilvl w:val="0"/>
          <w:numId w:val="15"/>
        </w:numPr>
        <w:ind w:left="1134"/>
        <w:rPr>
          <w:sz w:val="24"/>
          <w:szCs w:val="24"/>
        </w:rPr>
      </w:pPr>
      <w:r w:rsidRPr="00002668">
        <w:t>Motor Vehicle</w:t>
      </w:r>
      <w:r w:rsidR="00E171F7">
        <w:rPr>
          <w:sz w:val="24"/>
          <w:szCs w:val="24"/>
        </w:rPr>
        <w:t>,</w:t>
      </w:r>
      <w:r w:rsidRPr="00002668">
        <w:t>17 %</w:t>
      </w:r>
    </w:p>
    <w:p w14:paraId="41C5DAD2" w14:textId="77777777" w:rsidR="00D2400B" w:rsidRPr="00E171F7" w:rsidRDefault="00E171F7" w:rsidP="00A91C0E">
      <w:pPr>
        <w:pStyle w:val="ListParagraph"/>
        <w:numPr>
          <w:ilvl w:val="0"/>
          <w:numId w:val="15"/>
        </w:numPr>
        <w:ind w:left="1134"/>
        <w:rPr>
          <w:sz w:val="24"/>
          <w:szCs w:val="24"/>
        </w:rPr>
      </w:pPr>
      <w:r>
        <w:t xml:space="preserve">Software, </w:t>
      </w:r>
      <w:r w:rsidR="00D2400B" w:rsidRPr="00002668">
        <w:t>33 %</w:t>
      </w:r>
    </w:p>
    <w:p w14:paraId="5E687E0F" w14:textId="77777777" w:rsidR="00E171F7" w:rsidRDefault="00D2400B" w:rsidP="00A91C0E">
      <w:pPr>
        <w:ind w:left="426"/>
      </w:pPr>
      <w:r w:rsidRPr="00002668">
        <w:t>The assets</w:t>
      </w:r>
      <w:r w:rsidR="007E4389">
        <w:t>’</w:t>
      </w:r>
      <w:r w:rsidRPr="00002668">
        <w:t xml:space="preserve"> residual values and useful lives are reviewed,</w:t>
      </w:r>
      <w:r>
        <w:t xml:space="preserve"> and adjusted if appropriate, at each balance sheet date.</w:t>
      </w:r>
    </w:p>
    <w:p w14:paraId="69B8E222" w14:textId="77777777" w:rsidR="00D2400B" w:rsidRDefault="00D2400B" w:rsidP="00A91C0E">
      <w:pPr>
        <w:ind w:left="426"/>
        <w:rPr>
          <w:sz w:val="24"/>
          <w:szCs w:val="24"/>
        </w:rPr>
      </w:pPr>
      <w:r>
        <w:t>An asset’s carrying amount is written down immediately to its recoverable amount if the asset’s carrying amount is greater than its estimated recoverable amount.</w:t>
      </w:r>
    </w:p>
    <w:p w14:paraId="74C826A3" w14:textId="77777777" w:rsidR="00D2400B" w:rsidRDefault="00D2400B" w:rsidP="00A91C0E">
      <w:pPr>
        <w:ind w:left="426"/>
        <w:rPr>
          <w:sz w:val="24"/>
          <w:szCs w:val="24"/>
        </w:rPr>
      </w:pPr>
      <w:r>
        <w:t>Gains and losses on disposals are determined by comparing proceeds with the carrying amount. These gains or losses are included in the income statement. When revalued assets are sold, amounts included in the revaluation reserve relating to that asset are transferred to retained earnings.</w:t>
      </w:r>
    </w:p>
    <w:p w14:paraId="3D7F37D2" w14:textId="77777777" w:rsidR="00D24DFC" w:rsidRPr="0083231D" w:rsidRDefault="00D2400B" w:rsidP="005132DB">
      <w:pPr>
        <w:pStyle w:val="Heading3"/>
        <w:numPr>
          <w:ilvl w:val="1"/>
          <w:numId w:val="13"/>
        </w:numPr>
        <w:tabs>
          <w:tab w:val="left" w:pos="426"/>
        </w:tabs>
        <w:ind w:left="426" w:hanging="426"/>
      </w:pPr>
      <w:r w:rsidRPr="001A2FF7">
        <w:t>Income Tax</w:t>
      </w:r>
    </w:p>
    <w:p w14:paraId="548D4FD3" w14:textId="77777777" w:rsidR="00D2400B" w:rsidRDefault="00D2400B" w:rsidP="00A91C0E">
      <w:pPr>
        <w:ind w:left="426"/>
        <w:rPr>
          <w:sz w:val="24"/>
          <w:szCs w:val="24"/>
        </w:rPr>
      </w:pPr>
      <w:r>
        <w:t xml:space="preserve">No provision for income tax has been raised as the entity is exempt from income tax under Division 50 of the </w:t>
      </w:r>
      <w:r w:rsidRPr="00B533BD">
        <w:rPr>
          <w:i/>
        </w:rPr>
        <w:t>Income Tax Assessment Act 1997</w:t>
      </w:r>
      <w:r>
        <w:t>.</w:t>
      </w:r>
    </w:p>
    <w:p w14:paraId="4C3C3801" w14:textId="77777777" w:rsidR="00D24DFC" w:rsidRPr="0083231D" w:rsidRDefault="00D2400B" w:rsidP="005132DB">
      <w:pPr>
        <w:pStyle w:val="Heading3"/>
        <w:numPr>
          <w:ilvl w:val="1"/>
          <w:numId w:val="13"/>
        </w:numPr>
        <w:ind w:left="426" w:hanging="426"/>
      </w:pPr>
      <w:r w:rsidRPr="001A2FF7">
        <w:t>Costs</w:t>
      </w:r>
    </w:p>
    <w:p w14:paraId="3D3D5CD9" w14:textId="186191B4" w:rsidR="00A91C0E" w:rsidRDefault="00D2400B" w:rsidP="00A91C0E">
      <w:pPr>
        <w:ind w:left="426"/>
      </w:pPr>
      <w:r>
        <w:t>Borrowing costs directly attributable to the acquisition, construction or production of assets that necessarily take a substantial period of time to prepare for their intended use or sale, are added to the cost of those assets, until such time as the assets are substantially ready for their intended use or sale.</w:t>
      </w:r>
      <w:r w:rsidR="000B4B10">
        <w:t xml:space="preserve"> </w:t>
      </w:r>
      <w:r>
        <w:t>All other borrowing costs are recognised in income in the period in which they are incurred.</w:t>
      </w:r>
    </w:p>
    <w:p w14:paraId="3C498205" w14:textId="77777777" w:rsidR="00603B49" w:rsidRDefault="00603B49" w:rsidP="00022082">
      <w:pPr>
        <w:ind w:left="426"/>
        <w:jc w:val="center"/>
        <w:rPr>
          <w:i/>
        </w:rPr>
      </w:pPr>
    </w:p>
    <w:p w14:paraId="721F5E96" w14:textId="10309C0C" w:rsidR="00A91C0E" w:rsidRPr="00022082" w:rsidRDefault="00A91C0E" w:rsidP="00022082">
      <w:pPr>
        <w:ind w:left="426"/>
        <w:jc w:val="center"/>
        <w:rPr>
          <w:i/>
        </w:rPr>
      </w:pPr>
      <w:r w:rsidRPr="008266C1">
        <w:rPr>
          <w:i/>
        </w:rPr>
        <w:t>These notes form part of the financial statements</w:t>
      </w:r>
      <w:r>
        <w:br w:type="page"/>
      </w:r>
    </w:p>
    <w:p w14:paraId="761FCC8B" w14:textId="77777777" w:rsidR="00D2400B" w:rsidRPr="001A2FF7" w:rsidRDefault="00D2400B" w:rsidP="005132DB">
      <w:pPr>
        <w:pStyle w:val="Heading3"/>
        <w:numPr>
          <w:ilvl w:val="1"/>
          <w:numId w:val="13"/>
        </w:numPr>
        <w:ind w:left="426" w:hanging="426"/>
      </w:pPr>
      <w:r w:rsidRPr="001A2FF7">
        <w:lastRenderedPageBreak/>
        <w:t>Financial Instruments</w:t>
      </w:r>
    </w:p>
    <w:p w14:paraId="13FD7E47" w14:textId="341819C7" w:rsidR="00022082" w:rsidRDefault="00022082" w:rsidP="00022082">
      <w:pPr>
        <w:pStyle w:val="Heading4"/>
        <w:ind w:left="426"/>
      </w:pPr>
      <w:r w:rsidRPr="00022082">
        <w:t>Initial Recognition and Measurement</w:t>
      </w:r>
    </w:p>
    <w:p w14:paraId="64A00143" w14:textId="77777777" w:rsidR="00D2400B" w:rsidRDefault="00D2400B" w:rsidP="00022082">
      <w:pPr>
        <w:ind w:left="426"/>
        <w:rPr>
          <w:sz w:val="24"/>
          <w:szCs w:val="24"/>
        </w:rPr>
      </w:pPr>
      <w:r>
        <w:t>Financial assets and financial liabilities are recognised when the entity becomes a party to the contractual provisions to the instrument. For financial assets, this is equivalent to the date that the company commits itself to either purchase or sell the asset (i.e. trade date accounting is adopted).</w:t>
      </w:r>
    </w:p>
    <w:p w14:paraId="695D45E6" w14:textId="77777777" w:rsidR="00D2400B" w:rsidRDefault="00D2400B" w:rsidP="00022082">
      <w:pPr>
        <w:ind w:left="426"/>
      </w:pPr>
      <w:r>
        <w:t>Financial instruments are initially measured at fair value plus transactions costs except where the instrument is classified 'at fair value through profit or loss' in which case transaction costs are expensed to profit or loss immediately.</w:t>
      </w:r>
    </w:p>
    <w:p w14:paraId="250E22F6" w14:textId="005A8BD1" w:rsidR="00022082" w:rsidRDefault="00022082" w:rsidP="00022082">
      <w:pPr>
        <w:pStyle w:val="Heading4"/>
        <w:ind w:left="426"/>
      </w:pPr>
      <w:r w:rsidRPr="00022082">
        <w:t>Classification and Subsequent Measurement</w:t>
      </w:r>
    </w:p>
    <w:p w14:paraId="09EACF37" w14:textId="77777777" w:rsidR="00D2400B" w:rsidRPr="00B533BD" w:rsidRDefault="00D2400B" w:rsidP="00022082">
      <w:pPr>
        <w:ind w:left="426"/>
      </w:pPr>
      <w:r>
        <w:t>Finance instruments are subsequently measured at either fair value, amortised cost using the effective interest rate method or cost. Fair value represents the amount for which an asset could be exchanged or a liability settled, between knowledgeable, willing parties. Where available, quoted prices in an active market are used to determine fair value. In other circumstances, valuation techniques are adopted.</w:t>
      </w:r>
    </w:p>
    <w:p w14:paraId="101C1A1F" w14:textId="77777777" w:rsidR="00D2400B" w:rsidRDefault="00D2400B" w:rsidP="00022082">
      <w:pPr>
        <w:ind w:left="426"/>
      </w:pPr>
      <w:r>
        <w:t>Amortised cost is calculated as:</w:t>
      </w:r>
    </w:p>
    <w:p w14:paraId="2122C006" w14:textId="77777777" w:rsidR="00D2400B" w:rsidRDefault="00D2400B" w:rsidP="00022082">
      <w:pPr>
        <w:pStyle w:val="ListParagraph"/>
        <w:numPr>
          <w:ilvl w:val="0"/>
          <w:numId w:val="18"/>
        </w:numPr>
        <w:ind w:left="1135"/>
      </w:pPr>
      <w:r>
        <w:t>the amount at which the financial asset or financial liability is measured at initial recognition;</w:t>
      </w:r>
    </w:p>
    <w:p w14:paraId="4D2D78D3" w14:textId="77777777" w:rsidR="00D2400B" w:rsidRDefault="00D2400B" w:rsidP="00022082">
      <w:pPr>
        <w:pStyle w:val="ListParagraph"/>
        <w:numPr>
          <w:ilvl w:val="0"/>
          <w:numId w:val="18"/>
        </w:numPr>
        <w:ind w:left="1135"/>
      </w:pPr>
      <w:r>
        <w:t>less principal repayments;</w:t>
      </w:r>
    </w:p>
    <w:p w14:paraId="64811DE7" w14:textId="77777777" w:rsidR="00D2400B" w:rsidRDefault="00D2400B" w:rsidP="00022082">
      <w:pPr>
        <w:pStyle w:val="ListParagraph"/>
        <w:numPr>
          <w:ilvl w:val="0"/>
          <w:numId w:val="18"/>
        </w:numPr>
        <w:ind w:left="1135"/>
      </w:pPr>
      <w:r>
        <w:t>plus or minus the cumulative amortisation of the difference, if any, between the amount initially recognised and the maturity amount calculated using the effective interest method; and</w:t>
      </w:r>
    </w:p>
    <w:p w14:paraId="48650C4C" w14:textId="77777777" w:rsidR="00D2400B" w:rsidRPr="001A2FF7" w:rsidRDefault="00D2400B" w:rsidP="00022082">
      <w:pPr>
        <w:pStyle w:val="ListParagraph"/>
        <w:numPr>
          <w:ilvl w:val="0"/>
          <w:numId w:val="18"/>
        </w:numPr>
        <w:ind w:left="1135"/>
      </w:pPr>
      <w:proofErr w:type="gramStart"/>
      <w:r w:rsidRPr="001A2FF7">
        <w:t>less</w:t>
      </w:r>
      <w:proofErr w:type="gramEnd"/>
      <w:r w:rsidRPr="001A2FF7">
        <w:t xml:space="preserve"> any reduction for impairment.</w:t>
      </w:r>
    </w:p>
    <w:p w14:paraId="6795903B" w14:textId="77777777" w:rsidR="00D2400B" w:rsidRDefault="00D2400B" w:rsidP="00022082">
      <w:pPr>
        <w:ind w:left="426"/>
      </w:pPr>
      <w:r>
        <w:t>The effective interest method is used to allocate interest income or interest expense over the relevant period and is equivalent to the rate that exactly discounts estimated future cash payments or receipts (including fees, transaction costs and other premiums or discounts) through the expected life (or when this cannot be reliably predicted, the contractual term) of the financial instrument to the net carrying amount of the financial asset or financial liability.</w:t>
      </w:r>
    </w:p>
    <w:p w14:paraId="6FCB125B" w14:textId="77777777" w:rsidR="00D2400B" w:rsidRDefault="00D2400B" w:rsidP="00022082">
      <w:pPr>
        <w:ind w:left="426"/>
        <w:rPr>
          <w:u w:val="single"/>
        </w:rPr>
      </w:pPr>
      <w:r>
        <w:t>Revisions to expected future net cash flows will necessitate an adjustment to the carrying value with a consequential recognition of an income or expense in profit or loss.</w:t>
      </w:r>
      <w:r>
        <w:rPr>
          <w:u w:val="single"/>
        </w:rPr>
        <w:t xml:space="preserve"> </w:t>
      </w:r>
    </w:p>
    <w:p w14:paraId="6B0DCBB6" w14:textId="77777777" w:rsidR="00603B49" w:rsidRDefault="00603B49" w:rsidP="00A91C0E">
      <w:pPr>
        <w:ind w:left="426"/>
        <w:jc w:val="center"/>
        <w:rPr>
          <w:i/>
        </w:rPr>
      </w:pPr>
    </w:p>
    <w:p w14:paraId="46DE5CD0" w14:textId="777F5563" w:rsidR="00A91C0E" w:rsidRPr="00A91C0E" w:rsidRDefault="00A91C0E" w:rsidP="00A91C0E">
      <w:pPr>
        <w:ind w:left="426"/>
        <w:jc w:val="center"/>
      </w:pPr>
      <w:r w:rsidRPr="008266C1">
        <w:rPr>
          <w:i/>
        </w:rPr>
        <w:t>These notes form part of the financial statements</w:t>
      </w:r>
    </w:p>
    <w:p w14:paraId="21859F6C" w14:textId="77777777" w:rsidR="00A91C0E" w:rsidRDefault="00A91C0E">
      <w:pPr>
        <w:spacing w:after="200"/>
        <w:ind w:right="0"/>
        <w:rPr>
          <w:rStyle w:val="IntenseEmphasis"/>
        </w:rPr>
      </w:pPr>
      <w:r>
        <w:rPr>
          <w:rStyle w:val="IntenseEmphasis"/>
        </w:rPr>
        <w:br w:type="page"/>
      </w:r>
    </w:p>
    <w:p w14:paraId="59010468" w14:textId="54874E07" w:rsidR="00022082" w:rsidRDefault="00022082" w:rsidP="00022082">
      <w:pPr>
        <w:pStyle w:val="Heading4"/>
        <w:ind w:left="426"/>
      </w:pPr>
      <w:r w:rsidRPr="00022082">
        <w:lastRenderedPageBreak/>
        <w:t>Financial Assets at Fair Value through Profit and Loss</w:t>
      </w:r>
    </w:p>
    <w:p w14:paraId="04198A0F" w14:textId="77777777" w:rsidR="00D2400B" w:rsidRDefault="00D2400B" w:rsidP="00022082">
      <w:pPr>
        <w:ind w:left="426"/>
      </w:pPr>
      <w:r>
        <w:t>Financial assets are classified at ‘fair value through profit or loss’ when they are either held for trading for the purpose of short term profit taking, derivatives not held for hedging purposes, or when they are designated as such to avoid an accounting mismatch or to enable performance evaluation where a group of financial assets is managed by key management personnel on a fair value basis in accordance with a documented risk management or investment strategy. Such assets are subsequently measured at fair value with changes in carrying value being included in profit or loss.</w:t>
      </w:r>
    </w:p>
    <w:p w14:paraId="732CD822" w14:textId="693C44A7" w:rsidR="00022082" w:rsidRDefault="00022082" w:rsidP="00022082">
      <w:pPr>
        <w:pStyle w:val="Heading4"/>
        <w:ind w:left="426"/>
      </w:pPr>
      <w:r w:rsidRPr="00022082">
        <w:t>Available-for-Sale Financial Assets</w:t>
      </w:r>
    </w:p>
    <w:p w14:paraId="1A05CBAA" w14:textId="77777777" w:rsidR="00D2400B" w:rsidRDefault="00D2400B" w:rsidP="00022082">
      <w:pPr>
        <w:ind w:left="426"/>
      </w:pPr>
      <w:r>
        <w:t>Available-for-sale financial assets are non-derivative financial assets that are either not capable of being classified into other categories of financial assets due to their nature, or they are designated as such by management. They comprise investments in the equity of other entities where there is neither a fixed maturity nor fixed or determinable payments.</w:t>
      </w:r>
    </w:p>
    <w:p w14:paraId="72AF151A" w14:textId="1681610B" w:rsidR="00022082" w:rsidRDefault="00022082" w:rsidP="00022082">
      <w:pPr>
        <w:pStyle w:val="Heading4"/>
        <w:ind w:left="426"/>
      </w:pPr>
      <w:proofErr w:type="spellStart"/>
      <w:r w:rsidRPr="00022082">
        <w:t>Derecognition</w:t>
      </w:r>
      <w:proofErr w:type="spellEnd"/>
    </w:p>
    <w:p w14:paraId="4F24336A" w14:textId="77777777" w:rsidR="00D2400B" w:rsidRDefault="00D2400B" w:rsidP="00022082">
      <w:pPr>
        <w:ind w:left="426"/>
      </w:pPr>
      <w:r>
        <w:t xml:space="preserve">Financial assets are derecognised where the contractual rights to receipt of cash flows expires or the asset is transferred to another party whereby the entity no longer has any significant continuing involvement in the risks and benefits associated with the asset. </w:t>
      </w:r>
    </w:p>
    <w:p w14:paraId="3AD543A6" w14:textId="77777777" w:rsidR="00D2400B" w:rsidRDefault="00D2400B" w:rsidP="00022082">
      <w:pPr>
        <w:ind w:left="426"/>
        <w:rPr>
          <w:i/>
          <w:iCs/>
          <w:sz w:val="16"/>
          <w:szCs w:val="16"/>
        </w:rPr>
      </w:pPr>
      <w:r>
        <w:t>Financial liabilities are derecognised where the related obligations are either discharged, cancelled or expire. The difference between the carrying value of the financial liability extinguished or transferred to another party and the fair value of consideration paid, including the transfer of non-cash assets or liabilities assumed is recognised in profit of loss.</w:t>
      </w:r>
      <w:r>
        <w:rPr>
          <w:i/>
          <w:iCs/>
          <w:sz w:val="16"/>
          <w:szCs w:val="16"/>
        </w:rPr>
        <w:t xml:space="preserve"> </w:t>
      </w:r>
    </w:p>
    <w:p w14:paraId="2290FE7D" w14:textId="77777777" w:rsidR="00D24DFC" w:rsidRPr="0083231D" w:rsidRDefault="00D2400B" w:rsidP="005132DB">
      <w:pPr>
        <w:pStyle w:val="Heading3"/>
        <w:numPr>
          <w:ilvl w:val="1"/>
          <w:numId w:val="13"/>
        </w:numPr>
        <w:ind w:left="426" w:hanging="426"/>
      </w:pPr>
      <w:r w:rsidRPr="0083231D">
        <w:t>Goods and Services Tax (GST)</w:t>
      </w:r>
      <w:r w:rsidR="00D24DFC" w:rsidRPr="00D24DFC">
        <w:t xml:space="preserve"> </w:t>
      </w:r>
    </w:p>
    <w:p w14:paraId="2F7FCA51" w14:textId="77777777" w:rsidR="00D2400B" w:rsidRDefault="00D2400B" w:rsidP="00022082">
      <w:pPr>
        <w:ind w:left="426"/>
      </w:pPr>
      <w:r>
        <w:t>Revenues, expenses and assets are recognised net of the amount of GST, except where the amount of GST incurred is not recoverable from the Tax Office. In these circumstances, the GST is recognised as part of the cost of acquisition of the asset or as part of an item of the expense. Receivables and payables in the balance sheet are shown inclusive of GST. Cash flows are presented in the cash flow statement on a gross basis, except for the GST component of investing and financing activities, which are disclosed as operating cash flows.</w:t>
      </w:r>
    </w:p>
    <w:p w14:paraId="0B4CF36A" w14:textId="77777777" w:rsidR="00603B49" w:rsidRDefault="00603B49" w:rsidP="00E91B80">
      <w:pPr>
        <w:ind w:left="426"/>
        <w:jc w:val="center"/>
        <w:rPr>
          <w:i/>
        </w:rPr>
      </w:pPr>
    </w:p>
    <w:p w14:paraId="5276D8F8" w14:textId="5BE37D16" w:rsidR="00E91B80" w:rsidRDefault="00E91B80" w:rsidP="00E91B80">
      <w:pPr>
        <w:ind w:left="426"/>
        <w:jc w:val="center"/>
        <w:rPr>
          <w:i/>
        </w:rPr>
      </w:pPr>
      <w:r w:rsidRPr="008266C1">
        <w:rPr>
          <w:i/>
        </w:rPr>
        <w:t>These notes form part of the financial statements</w:t>
      </w:r>
    </w:p>
    <w:p w14:paraId="4142931A" w14:textId="77777777" w:rsidR="00E91B80" w:rsidRDefault="00E91B80">
      <w:pPr>
        <w:spacing w:after="200"/>
        <w:ind w:right="0"/>
        <w:rPr>
          <w:i/>
        </w:rPr>
      </w:pPr>
      <w:r>
        <w:rPr>
          <w:i/>
        </w:rPr>
        <w:br w:type="page"/>
      </w:r>
    </w:p>
    <w:p w14:paraId="0CE8D942" w14:textId="77777777" w:rsidR="00E91B80" w:rsidRDefault="00E91B80" w:rsidP="00E91B80">
      <w:pPr>
        <w:ind w:left="426"/>
        <w:jc w:val="center"/>
      </w:pPr>
    </w:p>
    <w:p w14:paraId="54815526" w14:textId="77777777" w:rsidR="00D24DFC" w:rsidRPr="0083231D" w:rsidRDefault="00D2400B" w:rsidP="005132DB">
      <w:pPr>
        <w:pStyle w:val="Heading3"/>
        <w:numPr>
          <w:ilvl w:val="1"/>
          <w:numId w:val="13"/>
        </w:numPr>
        <w:ind w:left="426" w:hanging="426"/>
      </w:pPr>
      <w:r w:rsidRPr="004F350B">
        <w:t>Employee Benefits</w:t>
      </w:r>
    </w:p>
    <w:p w14:paraId="00AC76D7" w14:textId="77777777" w:rsidR="00D2400B" w:rsidRPr="00EA316F" w:rsidRDefault="00D2400B" w:rsidP="00F239C4">
      <w:pPr>
        <w:ind w:left="426"/>
      </w:pPr>
      <w:r w:rsidRPr="00EA30D4">
        <w:t>Liabilities for annual leave expected to be settled within 12 months of the reporting date are recognised in other payables in respect of employee’s service up to the reporting date. They are measured at the amounts expected to be paid when liabilities are settled.</w:t>
      </w:r>
    </w:p>
    <w:p w14:paraId="0CB91BF9" w14:textId="0D9D4952" w:rsidR="00D2400B" w:rsidRDefault="00D2400B" w:rsidP="00F239C4">
      <w:pPr>
        <w:ind w:left="426"/>
      </w:pPr>
      <w:r w:rsidRPr="00D916BE">
        <w:t xml:space="preserve">Liabilities for long service leave are measured at the amounts expected to be paid when the liabilities are settled in respect of services provided by employee up to the </w:t>
      </w:r>
      <w:r>
        <w:t>reporting date, plus related on-</w:t>
      </w:r>
      <w:r w:rsidRPr="00D916BE">
        <w:t>costs.</w:t>
      </w:r>
      <w:r>
        <w:t xml:space="preserve"> </w:t>
      </w:r>
      <w:r w:rsidRPr="00DB6EC2">
        <w:t>These are recorded at present value of future liabilities.</w:t>
      </w:r>
      <w:r>
        <w:t xml:space="preserve"> </w:t>
      </w:r>
    </w:p>
    <w:p w14:paraId="06EEEC8F" w14:textId="77777777" w:rsidR="00D24DFC" w:rsidRPr="0083231D" w:rsidRDefault="00D24DFC" w:rsidP="005132DB">
      <w:pPr>
        <w:pStyle w:val="Heading3"/>
        <w:numPr>
          <w:ilvl w:val="1"/>
          <w:numId w:val="13"/>
        </w:numPr>
        <w:ind w:left="426" w:hanging="426"/>
      </w:pPr>
      <w:r w:rsidRPr="004F350B">
        <w:t>Comparative Figures</w:t>
      </w:r>
    </w:p>
    <w:p w14:paraId="16F5EA04" w14:textId="77777777" w:rsidR="00D24DFC" w:rsidRDefault="00D24DFC" w:rsidP="00E91B80">
      <w:pPr>
        <w:ind w:left="426"/>
        <w:rPr>
          <w:sz w:val="24"/>
          <w:szCs w:val="24"/>
        </w:rPr>
      </w:pPr>
      <w:r>
        <w:t>When required by Accounting Standards, comparative figures have been adjusted to conform to changes in presentation for the current financial year.</w:t>
      </w:r>
    </w:p>
    <w:p w14:paraId="4C0E5116" w14:textId="77777777" w:rsidR="0015721B" w:rsidRPr="0083231D" w:rsidRDefault="00D2400B" w:rsidP="005132DB">
      <w:pPr>
        <w:pStyle w:val="Heading3"/>
        <w:numPr>
          <w:ilvl w:val="1"/>
          <w:numId w:val="13"/>
        </w:numPr>
        <w:ind w:left="426" w:hanging="426"/>
      </w:pPr>
      <w:r w:rsidRPr="004F350B">
        <w:t>Critical Accounting Estimates and Judgments</w:t>
      </w:r>
    </w:p>
    <w:p w14:paraId="5C49A20A" w14:textId="77777777" w:rsidR="00D2400B" w:rsidRDefault="00D2400B" w:rsidP="00E91B80">
      <w:pPr>
        <w:ind w:left="426"/>
        <w:rPr>
          <w:sz w:val="24"/>
          <w:szCs w:val="24"/>
        </w:rPr>
      </w:pPr>
      <w:r>
        <w:t>The directors evaluate estimates and judgments incorporated into the financial report based on historical knowledge and best available current information. Estimates assume a reasonable expectation of future events and are based on current trends and economic data, obtained both externally and within the company.</w:t>
      </w:r>
    </w:p>
    <w:p w14:paraId="0FDA4CCD" w14:textId="77777777" w:rsidR="00D2400B" w:rsidRDefault="00D2400B" w:rsidP="00E91B80">
      <w:pPr>
        <w:pStyle w:val="Heading4"/>
        <w:ind w:left="426"/>
        <w:rPr>
          <w:sz w:val="24"/>
        </w:rPr>
      </w:pPr>
      <w:r>
        <w:t>Key Estimates - Impairment</w:t>
      </w:r>
    </w:p>
    <w:p w14:paraId="44C10EEB" w14:textId="77777777" w:rsidR="00D2400B" w:rsidRDefault="00D2400B" w:rsidP="00E91B80">
      <w:pPr>
        <w:ind w:left="426"/>
        <w:rPr>
          <w:sz w:val="24"/>
          <w:szCs w:val="24"/>
        </w:rPr>
      </w:pPr>
      <w:r>
        <w:t>The company assesses impairment at each reporting date by evaluation of conditions and events specific to the company that may be indicative of impairment triggers. Recoverable amounts of relevant assets are reassessed using value-in-use calculations which incorporate various key assumptions.</w:t>
      </w:r>
    </w:p>
    <w:p w14:paraId="3D661AEC" w14:textId="77777777" w:rsidR="00D2400B" w:rsidRPr="00E91B80" w:rsidRDefault="00D2400B" w:rsidP="005132DB">
      <w:pPr>
        <w:pStyle w:val="Heading3"/>
        <w:numPr>
          <w:ilvl w:val="1"/>
          <w:numId w:val="13"/>
        </w:numPr>
        <w:ind w:left="426" w:hanging="426"/>
      </w:pPr>
      <w:r w:rsidRPr="00E91B80">
        <w:t>New Accounting Standards for Application in Future Periods</w:t>
      </w:r>
    </w:p>
    <w:p w14:paraId="1123A980" w14:textId="77777777" w:rsidR="00D2400B" w:rsidRDefault="00D2400B" w:rsidP="00E91B80">
      <w:pPr>
        <w:ind w:left="426"/>
      </w:pPr>
      <w:r>
        <w:t>The AASB has issued new, revised and amended Standards and Interpretations that have mandatory application dates for future reporting periods and which the company has decided not to early adopt. The company does not anticipate early adoption of any of the reporting requirements would have any material effect on the company’s financial statements.</w:t>
      </w:r>
    </w:p>
    <w:p w14:paraId="2222EB5F" w14:textId="77777777" w:rsidR="00603B49" w:rsidRDefault="00603B49" w:rsidP="00E91B80">
      <w:pPr>
        <w:jc w:val="center"/>
        <w:rPr>
          <w:i/>
        </w:rPr>
      </w:pPr>
    </w:p>
    <w:p w14:paraId="202A5E35" w14:textId="77777777" w:rsidR="00D2400B" w:rsidRPr="00E91B80" w:rsidRDefault="00D2400B" w:rsidP="00E91B80">
      <w:pPr>
        <w:jc w:val="center"/>
        <w:rPr>
          <w:rFonts w:ascii="Times New Roman" w:hAnsi="Times New Roman"/>
          <w:i/>
          <w:sz w:val="16"/>
        </w:rPr>
      </w:pPr>
      <w:r w:rsidRPr="00E91B80">
        <w:rPr>
          <w:i/>
        </w:rPr>
        <w:t>These notes form part of the financial statements</w:t>
      </w:r>
      <w:r w:rsidRPr="00E91B80">
        <w:rPr>
          <w:rFonts w:ascii="Times New Roman" w:hAnsi="Times New Roman"/>
          <w:i/>
          <w:sz w:val="16"/>
        </w:rPr>
        <w:br w:type="page"/>
      </w:r>
    </w:p>
    <w:tbl>
      <w:tblPr>
        <w:tblStyle w:val="TableGrid"/>
        <w:tblW w:w="91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revenue"/>
      </w:tblPr>
      <w:tblGrid>
        <w:gridCol w:w="5483"/>
        <w:gridCol w:w="1510"/>
        <w:gridCol w:w="2192"/>
      </w:tblGrid>
      <w:tr w:rsidR="00DD22FF" w14:paraId="4CA1C68A" w14:textId="77777777" w:rsidTr="00712378">
        <w:trPr>
          <w:cnfStyle w:val="100000000000" w:firstRow="1" w:lastRow="0" w:firstColumn="0" w:lastColumn="0" w:oddVBand="0" w:evenVBand="0" w:oddHBand="0" w:evenHBand="0" w:firstRowFirstColumn="0" w:firstRowLastColumn="0" w:lastRowFirstColumn="0" w:lastRowLastColumn="0"/>
          <w:tblHeader/>
          <w:jc w:val="center"/>
        </w:trPr>
        <w:tc>
          <w:tcPr>
            <w:tcW w:w="2985" w:type="pct"/>
          </w:tcPr>
          <w:p w14:paraId="34EB0D57" w14:textId="77777777" w:rsidR="00DD22FF" w:rsidRPr="002419C9" w:rsidRDefault="00CB5652" w:rsidP="005132DB">
            <w:pPr>
              <w:pStyle w:val="Heading2"/>
              <w:outlineLvl w:val="1"/>
            </w:pPr>
            <w:r w:rsidRPr="002419C9">
              <w:lastRenderedPageBreak/>
              <w:t>2.</w:t>
            </w:r>
            <w:r w:rsidR="000B4B10">
              <w:t xml:space="preserve"> </w:t>
            </w:r>
            <w:r w:rsidR="00DD22FF" w:rsidRPr="002419C9">
              <w:t>Revenue</w:t>
            </w:r>
          </w:p>
        </w:tc>
        <w:tc>
          <w:tcPr>
            <w:tcW w:w="822" w:type="pct"/>
          </w:tcPr>
          <w:p w14:paraId="386BA330" w14:textId="77777777" w:rsidR="00DD22FF" w:rsidRPr="002419C9" w:rsidRDefault="00EF1D9F" w:rsidP="00E71696">
            <w:r>
              <w:t>2016</w:t>
            </w:r>
            <w:r w:rsidR="00DD22FF" w:rsidRPr="002419C9">
              <w:br/>
              <w:t>$</w:t>
            </w:r>
          </w:p>
        </w:tc>
        <w:tc>
          <w:tcPr>
            <w:tcW w:w="1193" w:type="pct"/>
          </w:tcPr>
          <w:p w14:paraId="14604773" w14:textId="77777777" w:rsidR="00DD22FF" w:rsidRPr="00D40661" w:rsidRDefault="00EF1D9F" w:rsidP="00E71696">
            <w:r>
              <w:t>2015</w:t>
            </w:r>
            <w:r w:rsidR="00DD22FF" w:rsidRPr="002419C9">
              <w:br/>
              <w:t>$</w:t>
            </w:r>
          </w:p>
        </w:tc>
      </w:tr>
      <w:tr w:rsidR="00CE367A" w:rsidRPr="00522D47" w14:paraId="01FA5D28" w14:textId="77777777" w:rsidTr="00712378">
        <w:trPr>
          <w:jc w:val="center"/>
        </w:trPr>
        <w:tc>
          <w:tcPr>
            <w:tcW w:w="2985" w:type="pct"/>
          </w:tcPr>
          <w:p w14:paraId="754A8C13" w14:textId="77777777" w:rsidR="00CE367A" w:rsidRPr="00522D47" w:rsidRDefault="00CE367A" w:rsidP="00E71696">
            <w:r w:rsidRPr="00522D47">
              <w:t>Miscellaneous Income</w:t>
            </w:r>
          </w:p>
        </w:tc>
        <w:tc>
          <w:tcPr>
            <w:tcW w:w="822" w:type="pct"/>
          </w:tcPr>
          <w:p w14:paraId="47EC9CFA" w14:textId="77777777" w:rsidR="00CE367A" w:rsidRPr="00522D47" w:rsidRDefault="00034268" w:rsidP="00E71696">
            <w:r>
              <w:t>3,753</w:t>
            </w:r>
          </w:p>
        </w:tc>
        <w:tc>
          <w:tcPr>
            <w:tcW w:w="1193" w:type="pct"/>
          </w:tcPr>
          <w:p w14:paraId="5B4F0832" w14:textId="77777777" w:rsidR="00CE367A" w:rsidRPr="00522D47" w:rsidRDefault="00745DF0" w:rsidP="00E71696">
            <w:r w:rsidRPr="00522D47">
              <w:t>11,239</w:t>
            </w:r>
          </w:p>
        </w:tc>
      </w:tr>
      <w:tr w:rsidR="00745DF0" w:rsidRPr="00522D47" w14:paraId="1BDF914C" w14:textId="77777777" w:rsidTr="00712378">
        <w:trPr>
          <w:jc w:val="center"/>
        </w:trPr>
        <w:tc>
          <w:tcPr>
            <w:tcW w:w="2985" w:type="pct"/>
          </w:tcPr>
          <w:p w14:paraId="7CD465B9" w14:textId="77777777" w:rsidR="00745DF0" w:rsidRPr="00522D47" w:rsidRDefault="00745DF0" w:rsidP="00E71696">
            <w:r w:rsidRPr="00522D47">
              <w:t>Industry course</w:t>
            </w:r>
          </w:p>
        </w:tc>
        <w:tc>
          <w:tcPr>
            <w:tcW w:w="822" w:type="pct"/>
          </w:tcPr>
          <w:p w14:paraId="7B4F7220" w14:textId="77777777" w:rsidR="00745DF0" w:rsidRPr="00522D47" w:rsidRDefault="00034268" w:rsidP="00E71696">
            <w:r>
              <w:t>86,960</w:t>
            </w:r>
          </w:p>
        </w:tc>
        <w:tc>
          <w:tcPr>
            <w:tcW w:w="1193" w:type="pct"/>
          </w:tcPr>
          <w:p w14:paraId="31DA3993" w14:textId="77777777" w:rsidR="00745DF0" w:rsidRPr="00522D47" w:rsidRDefault="00745DF0" w:rsidP="00E71696">
            <w:r w:rsidRPr="00522D47">
              <w:t>54,111</w:t>
            </w:r>
          </w:p>
        </w:tc>
      </w:tr>
      <w:tr w:rsidR="00745DF0" w:rsidRPr="00522D47" w14:paraId="589C42D5" w14:textId="77777777" w:rsidTr="00F42C98">
        <w:trPr>
          <w:jc w:val="center"/>
        </w:trPr>
        <w:tc>
          <w:tcPr>
            <w:tcW w:w="2985" w:type="pct"/>
          </w:tcPr>
          <w:p w14:paraId="6AD5E2BA" w14:textId="501C4A13" w:rsidR="00745DF0" w:rsidRPr="00522D47" w:rsidRDefault="00CE2A73" w:rsidP="00E71696">
            <w:r w:rsidRPr="00CE2A73">
              <w:t xml:space="preserve">Digital Accessibility Services &amp; Access </w:t>
            </w:r>
            <w:proofErr w:type="spellStart"/>
            <w:r w:rsidRPr="00CE2A73">
              <w:t>iQ</w:t>
            </w:r>
            <w:proofErr w:type="spellEnd"/>
          </w:p>
        </w:tc>
        <w:tc>
          <w:tcPr>
            <w:tcW w:w="822" w:type="pct"/>
            <w:tcBorders>
              <w:bottom w:val="single" w:sz="4" w:space="0" w:color="auto"/>
            </w:tcBorders>
          </w:tcPr>
          <w:p w14:paraId="2A67FCC5" w14:textId="77777777" w:rsidR="00745DF0" w:rsidRPr="00522D47" w:rsidRDefault="00034268" w:rsidP="00E71696">
            <w:r>
              <w:t>587,134</w:t>
            </w:r>
          </w:p>
        </w:tc>
        <w:tc>
          <w:tcPr>
            <w:tcW w:w="1193" w:type="pct"/>
            <w:tcBorders>
              <w:bottom w:val="single" w:sz="4" w:space="0" w:color="auto"/>
            </w:tcBorders>
          </w:tcPr>
          <w:p w14:paraId="7258ED80" w14:textId="77777777" w:rsidR="00745DF0" w:rsidRPr="00522D47" w:rsidRDefault="00745DF0" w:rsidP="00E71696">
            <w:r w:rsidRPr="00522D47">
              <w:t>299,872</w:t>
            </w:r>
          </w:p>
        </w:tc>
      </w:tr>
      <w:tr w:rsidR="00745DF0" w14:paraId="610BF5D0" w14:textId="77777777" w:rsidTr="00F42C98">
        <w:trPr>
          <w:jc w:val="center"/>
        </w:trPr>
        <w:tc>
          <w:tcPr>
            <w:tcW w:w="2985" w:type="pct"/>
          </w:tcPr>
          <w:p w14:paraId="7DBCBE9D" w14:textId="77777777" w:rsidR="00745DF0" w:rsidRPr="00522D47" w:rsidRDefault="00745DF0" w:rsidP="00E71696"/>
        </w:tc>
        <w:tc>
          <w:tcPr>
            <w:tcW w:w="822" w:type="pct"/>
            <w:tcBorders>
              <w:top w:val="single" w:sz="4" w:space="0" w:color="auto"/>
              <w:bottom w:val="double" w:sz="4" w:space="0" w:color="auto"/>
            </w:tcBorders>
          </w:tcPr>
          <w:p w14:paraId="4CE99A0D" w14:textId="77777777" w:rsidR="00745DF0" w:rsidRPr="00522D47" w:rsidRDefault="00034268" w:rsidP="00E71696">
            <w:r>
              <w:t>677,847</w:t>
            </w:r>
          </w:p>
        </w:tc>
        <w:tc>
          <w:tcPr>
            <w:tcW w:w="1193" w:type="pct"/>
            <w:tcBorders>
              <w:top w:val="single" w:sz="4" w:space="0" w:color="auto"/>
              <w:bottom w:val="double" w:sz="4" w:space="0" w:color="auto"/>
            </w:tcBorders>
          </w:tcPr>
          <w:p w14:paraId="38C7B8DE" w14:textId="77777777" w:rsidR="00745DF0" w:rsidRPr="00522D47" w:rsidRDefault="00745DF0" w:rsidP="00E71696">
            <w:r w:rsidRPr="00522D47">
              <w:t>365,312</w:t>
            </w:r>
          </w:p>
        </w:tc>
      </w:tr>
    </w:tbl>
    <w:p w14:paraId="22E20C3F" w14:textId="77777777" w:rsidR="000C7DE9" w:rsidRDefault="000C7DE9" w:rsidP="00E71696"/>
    <w:tbl>
      <w:tblPr>
        <w:tblStyle w:val="TableGrid"/>
        <w:tblW w:w="91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net financial income"/>
      </w:tblPr>
      <w:tblGrid>
        <w:gridCol w:w="5484"/>
        <w:gridCol w:w="1514"/>
        <w:gridCol w:w="2187"/>
      </w:tblGrid>
      <w:tr w:rsidR="00B90CF7" w:rsidRPr="00522D47" w14:paraId="38D098B8" w14:textId="77777777" w:rsidTr="000234B1">
        <w:trPr>
          <w:cnfStyle w:val="100000000000" w:firstRow="1" w:lastRow="0" w:firstColumn="0" w:lastColumn="0" w:oddVBand="0" w:evenVBand="0" w:oddHBand="0" w:evenHBand="0" w:firstRowFirstColumn="0" w:firstRowLastColumn="0" w:lastRowFirstColumn="0" w:lastRowLastColumn="0"/>
          <w:tblHeader/>
          <w:jc w:val="center"/>
        </w:trPr>
        <w:tc>
          <w:tcPr>
            <w:tcW w:w="0" w:type="auto"/>
          </w:tcPr>
          <w:p w14:paraId="54FCA500" w14:textId="77777777" w:rsidR="00B90CF7" w:rsidRPr="00522D47" w:rsidRDefault="00CB5652" w:rsidP="005132DB">
            <w:pPr>
              <w:pStyle w:val="Heading2"/>
              <w:outlineLvl w:val="1"/>
            </w:pPr>
            <w:r w:rsidRPr="00522D47">
              <w:t>3.</w:t>
            </w:r>
            <w:r w:rsidR="000B4B10" w:rsidRPr="00522D47">
              <w:t xml:space="preserve"> </w:t>
            </w:r>
            <w:r w:rsidR="00B90CF7" w:rsidRPr="00522D47">
              <w:t>Net Financial Income (expense)</w:t>
            </w:r>
          </w:p>
        </w:tc>
        <w:tc>
          <w:tcPr>
            <w:tcW w:w="1514" w:type="dxa"/>
          </w:tcPr>
          <w:p w14:paraId="7B52E237" w14:textId="77777777" w:rsidR="00B90CF7" w:rsidRPr="00522D47" w:rsidRDefault="00EF1D9F" w:rsidP="00E71696">
            <w:r>
              <w:t>2016</w:t>
            </w:r>
            <w:r w:rsidR="00B90CF7" w:rsidRPr="00522D47">
              <w:br/>
              <w:t>$</w:t>
            </w:r>
          </w:p>
        </w:tc>
        <w:tc>
          <w:tcPr>
            <w:tcW w:w="2187" w:type="dxa"/>
          </w:tcPr>
          <w:p w14:paraId="35BD436E" w14:textId="77777777" w:rsidR="00B90CF7" w:rsidRPr="00522D47" w:rsidRDefault="00EF1D9F" w:rsidP="00E71696">
            <w:r>
              <w:t>2015</w:t>
            </w:r>
            <w:r w:rsidR="00B90CF7" w:rsidRPr="00522D47">
              <w:br/>
              <w:t>$</w:t>
            </w:r>
          </w:p>
        </w:tc>
      </w:tr>
      <w:tr w:rsidR="00745DF0" w:rsidRPr="00522D47" w14:paraId="3FF6662C" w14:textId="77777777" w:rsidTr="000234B1">
        <w:trPr>
          <w:jc w:val="center"/>
        </w:trPr>
        <w:tc>
          <w:tcPr>
            <w:tcW w:w="0" w:type="auto"/>
          </w:tcPr>
          <w:p w14:paraId="357FA8CE" w14:textId="77777777" w:rsidR="00745DF0" w:rsidRPr="00522D47" w:rsidRDefault="00745DF0" w:rsidP="00E71696">
            <w:r w:rsidRPr="00522D47">
              <w:t>Net Dividend and distribution received</w:t>
            </w:r>
          </w:p>
        </w:tc>
        <w:tc>
          <w:tcPr>
            <w:tcW w:w="1514" w:type="dxa"/>
          </w:tcPr>
          <w:p w14:paraId="7D7BB821" w14:textId="77777777" w:rsidR="00745DF0" w:rsidRPr="00522D47" w:rsidRDefault="00EC37A8" w:rsidP="00E71696">
            <w:r>
              <w:t>321,157</w:t>
            </w:r>
          </w:p>
        </w:tc>
        <w:tc>
          <w:tcPr>
            <w:tcW w:w="2187" w:type="dxa"/>
          </w:tcPr>
          <w:p w14:paraId="0E53CD44" w14:textId="77777777" w:rsidR="00745DF0" w:rsidRPr="00522D47" w:rsidRDefault="00745DF0" w:rsidP="00E71696">
            <w:r w:rsidRPr="00522D47">
              <w:t>327,840</w:t>
            </w:r>
          </w:p>
        </w:tc>
      </w:tr>
      <w:tr w:rsidR="00745DF0" w:rsidRPr="00522D47" w14:paraId="2018D789" w14:textId="77777777" w:rsidTr="000234B1">
        <w:trPr>
          <w:jc w:val="center"/>
        </w:trPr>
        <w:tc>
          <w:tcPr>
            <w:tcW w:w="0" w:type="auto"/>
          </w:tcPr>
          <w:p w14:paraId="6ABA6FDD" w14:textId="77777777" w:rsidR="00745DF0" w:rsidRPr="00522D47" w:rsidRDefault="00745DF0" w:rsidP="00E71696">
            <w:r w:rsidRPr="00522D47">
              <w:t>Interest Received</w:t>
            </w:r>
          </w:p>
        </w:tc>
        <w:tc>
          <w:tcPr>
            <w:tcW w:w="1514" w:type="dxa"/>
          </w:tcPr>
          <w:p w14:paraId="0D624EE0" w14:textId="77777777" w:rsidR="00745DF0" w:rsidRPr="00522D47" w:rsidRDefault="00EC37A8" w:rsidP="00E71696">
            <w:r>
              <w:t>2,439</w:t>
            </w:r>
          </w:p>
        </w:tc>
        <w:tc>
          <w:tcPr>
            <w:tcW w:w="2187" w:type="dxa"/>
          </w:tcPr>
          <w:p w14:paraId="0F7895D5" w14:textId="77777777" w:rsidR="00745DF0" w:rsidRPr="00522D47" w:rsidRDefault="00745DF0" w:rsidP="00E71696">
            <w:r w:rsidRPr="00522D47">
              <w:t>3,467</w:t>
            </w:r>
          </w:p>
        </w:tc>
      </w:tr>
      <w:tr w:rsidR="00745DF0" w:rsidRPr="00522D47" w14:paraId="6926C5F6" w14:textId="77777777" w:rsidTr="000234B1">
        <w:trPr>
          <w:jc w:val="center"/>
        </w:trPr>
        <w:tc>
          <w:tcPr>
            <w:tcW w:w="0" w:type="auto"/>
          </w:tcPr>
          <w:p w14:paraId="74115D5C" w14:textId="77777777" w:rsidR="00745DF0" w:rsidRPr="00522D47" w:rsidRDefault="00745DF0" w:rsidP="00E71696">
            <w:r w:rsidRPr="00522D47">
              <w:t>Movement in Net Market Values</w:t>
            </w:r>
          </w:p>
        </w:tc>
        <w:tc>
          <w:tcPr>
            <w:tcW w:w="1514" w:type="dxa"/>
          </w:tcPr>
          <w:p w14:paraId="59379445" w14:textId="77777777" w:rsidR="00745DF0" w:rsidRPr="00522D47" w:rsidRDefault="00EC37A8" w:rsidP="00E71696">
            <w:r>
              <w:t>(146,984)</w:t>
            </w:r>
          </w:p>
        </w:tc>
        <w:tc>
          <w:tcPr>
            <w:tcW w:w="2187" w:type="dxa"/>
          </w:tcPr>
          <w:p w14:paraId="44401307" w14:textId="77777777" w:rsidR="00745DF0" w:rsidRPr="00522D47" w:rsidRDefault="00745DF0" w:rsidP="00E71696">
            <w:r w:rsidRPr="00522D47">
              <w:t>(545,361)</w:t>
            </w:r>
          </w:p>
        </w:tc>
      </w:tr>
      <w:tr w:rsidR="00745DF0" w:rsidRPr="00522D47" w14:paraId="12B1202E" w14:textId="77777777" w:rsidTr="00F42C98">
        <w:trPr>
          <w:jc w:val="center"/>
        </w:trPr>
        <w:tc>
          <w:tcPr>
            <w:tcW w:w="0" w:type="auto"/>
          </w:tcPr>
          <w:p w14:paraId="0F856714" w14:textId="77777777" w:rsidR="00745DF0" w:rsidRPr="00522D47" w:rsidRDefault="00745DF0" w:rsidP="00E71696">
            <w:r w:rsidRPr="00522D47">
              <w:t>Profit (loss) on Disposal of Investments</w:t>
            </w:r>
          </w:p>
        </w:tc>
        <w:tc>
          <w:tcPr>
            <w:tcW w:w="1514" w:type="dxa"/>
            <w:tcBorders>
              <w:bottom w:val="single" w:sz="4" w:space="0" w:color="auto"/>
            </w:tcBorders>
          </w:tcPr>
          <w:p w14:paraId="0BD035A6" w14:textId="77777777" w:rsidR="00745DF0" w:rsidRPr="00522D47" w:rsidRDefault="00EC37A8" w:rsidP="00E71696">
            <w:r>
              <w:t>(151,511)</w:t>
            </w:r>
          </w:p>
        </w:tc>
        <w:tc>
          <w:tcPr>
            <w:tcW w:w="2187" w:type="dxa"/>
            <w:tcBorders>
              <w:bottom w:val="single" w:sz="4" w:space="0" w:color="auto"/>
            </w:tcBorders>
          </w:tcPr>
          <w:p w14:paraId="4DA6CA71" w14:textId="77777777" w:rsidR="00745DF0" w:rsidRPr="00522D47" w:rsidRDefault="00745DF0" w:rsidP="00E71696">
            <w:r w:rsidRPr="00522D47">
              <w:t>259,201</w:t>
            </w:r>
          </w:p>
        </w:tc>
      </w:tr>
      <w:tr w:rsidR="00745DF0" w:rsidRPr="007A7882" w14:paraId="25E1C113" w14:textId="77777777" w:rsidTr="00F42C98">
        <w:trPr>
          <w:jc w:val="center"/>
        </w:trPr>
        <w:tc>
          <w:tcPr>
            <w:tcW w:w="0" w:type="auto"/>
          </w:tcPr>
          <w:p w14:paraId="302C30FF" w14:textId="77777777" w:rsidR="00745DF0" w:rsidRPr="00522D47" w:rsidRDefault="00745DF0" w:rsidP="00E71696"/>
        </w:tc>
        <w:tc>
          <w:tcPr>
            <w:tcW w:w="1514" w:type="dxa"/>
            <w:tcBorders>
              <w:top w:val="single" w:sz="4" w:space="0" w:color="auto"/>
              <w:bottom w:val="double" w:sz="4" w:space="0" w:color="auto"/>
            </w:tcBorders>
          </w:tcPr>
          <w:p w14:paraId="2A606787" w14:textId="77777777" w:rsidR="00745DF0" w:rsidRPr="00522D47" w:rsidRDefault="00EC37A8" w:rsidP="00E71696">
            <w:r>
              <w:t>25,100</w:t>
            </w:r>
          </w:p>
        </w:tc>
        <w:tc>
          <w:tcPr>
            <w:tcW w:w="2187" w:type="dxa"/>
            <w:tcBorders>
              <w:top w:val="single" w:sz="4" w:space="0" w:color="auto"/>
              <w:bottom w:val="double" w:sz="4" w:space="0" w:color="auto"/>
            </w:tcBorders>
          </w:tcPr>
          <w:p w14:paraId="4F70650F" w14:textId="77777777" w:rsidR="00745DF0" w:rsidRPr="00522D47" w:rsidRDefault="00745DF0" w:rsidP="00E71696">
            <w:r w:rsidRPr="00522D47">
              <w:t>45,147</w:t>
            </w:r>
          </w:p>
        </w:tc>
      </w:tr>
    </w:tbl>
    <w:p w14:paraId="60B8BA76" w14:textId="77777777" w:rsidR="000C7DE9" w:rsidRDefault="000C7DE9" w:rsidP="00E7169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1559"/>
        <w:gridCol w:w="2186"/>
      </w:tblGrid>
      <w:tr w:rsidR="008865F1" w14:paraId="3FD90EA9" w14:textId="77777777" w:rsidTr="008865F1">
        <w:trPr>
          <w:cnfStyle w:val="100000000000" w:firstRow="1" w:lastRow="0" w:firstColumn="0" w:lastColumn="0" w:oddVBand="0" w:evenVBand="0" w:oddHBand="0" w:evenHBand="0" w:firstRowFirstColumn="0" w:firstRowLastColumn="0" w:lastRowFirstColumn="0" w:lastRowLastColumn="0"/>
          <w:tblHeader/>
        </w:trPr>
        <w:tc>
          <w:tcPr>
            <w:tcW w:w="5495" w:type="dxa"/>
          </w:tcPr>
          <w:p w14:paraId="7D450787" w14:textId="7038C744" w:rsidR="008865F1" w:rsidRDefault="008865F1" w:rsidP="008865F1">
            <w:pPr>
              <w:pStyle w:val="Heading2"/>
            </w:pPr>
            <w:r>
              <w:t xml:space="preserve">4. </w:t>
            </w:r>
            <w:r w:rsidRPr="00B90CF7">
              <w:t>Employee Expenses</w:t>
            </w:r>
          </w:p>
        </w:tc>
        <w:tc>
          <w:tcPr>
            <w:tcW w:w="1559" w:type="dxa"/>
          </w:tcPr>
          <w:p w14:paraId="5C3EB7A2" w14:textId="4D417456" w:rsidR="008865F1" w:rsidRPr="008865F1" w:rsidRDefault="008865F1" w:rsidP="00E71696">
            <w:pPr>
              <w:rPr>
                <w:b w:val="0"/>
              </w:rPr>
            </w:pPr>
            <w:r>
              <w:rPr>
                <w:b w:val="0"/>
              </w:rPr>
              <w:t>2016</w:t>
            </w:r>
            <w:r>
              <w:rPr>
                <w:b w:val="0"/>
              </w:rPr>
              <w:br/>
              <w:t>$</w:t>
            </w:r>
          </w:p>
        </w:tc>
        <w:tc>
          <w:tcPr>
            <w:tcW w:w="2186" w:type="dxa"/>
          </w:tcPr>
          <w:p w14:paraId="6D17A9C6" w14:textId="6318F203" w:rsidR="008865F1" w:rsidRPr="008865F1" w:rsidRDefault="008865F1" w:rsidP="00E71696">
            <w:pPr>
              <w:rPr>
                <w:b w:val="0"/>
              </w:rPr>
            </w:pPr>
            <w:r>
              <w:rPr>
                <w:b w:val="0"/>
              </w:rPr>
              <w:t>2015</w:t>
            </w:r>
            <w:r>
              <w:rPr>
                <w:b w:val="0"/>
              </w:rPr>
              <w:br/>
              <w:t>$</w:t>
            </w:r>
          </w:p>
        </w:tc>
      </w:tr>
      <w:tr w:rsidR="008865F1" w14:paraId="20F4365B" w14:textId="77777777" w:rsidTr="008865F1">
        <w:tc>
          <w:tcPr>
            <w:tcW w:w="5495" w:type="dxa"/>
          </w:tcPr>
          <w:p w14:paraId="05143B4C" w14:textId="4F095713" w:rsidR="008865F1" w:rsidRDefault="008865F1" w:rsidP="00E71696">
            <w:r>
              <w:t>Wages and salaries</w:t>
            </w:r>
          </w:p>
        </w:tc>
        <w:tc>
          <w:tcPr>
            <w:tcW w:w="1559" w:type="dxa"/>
          </w:tcPr>
          <w:p w14:paraId="7433742D" w14:textId="345E42A7" w:rsidR="008865F1" w:rsidRDefault="008865F1" w:rsidP="00E71696">
            <w:r>
              <w:t>(936,592)</w:t>
            </w:r>
          </w:p>
        </w:tc>
        <w:tc>
          <w:tcPr>
            <w:tcW w:w="2186" w:type="dxa"/>
          </w:tcPr>
          <w:p w14:paraId="74FCCA92" w14:textId="1F2FD6D6" w:rsidR="008865F1" w:rsidRDefault="008865F1" w:rsidP="00E71696">
            <w:r>
              <w:t>(973,169)</w:t>
            </w:r>
          </w:p>
        </w:tc>
      </w:tr>
      <w:tr w:rsidR="008865F1" w14:paraId="34C8C30D" w14:textId="77777777" w:rsidTr="008865F1">
        <w:tc>
          <w:tcPr>
            <w:tcW w:w="5495" w:type="dxa"/>
          </w:tcPr>
          <w:p w14:paraId="53D60983" w14:textId="0951A53D" w:rsidR="008865F1" w:rsidRDefault="008865F1" w:rsidP="00E71696">
            <w:r>
              <w:t>Superannuation contribution</w:t>
            </w:r>
          </w:p>
        </w:tc>
        <w:tc>
          <w:tcPr>
            <w:tcW w:w="1559" w:type="dxa"/>
          </w:tcPr>
          <w:p w14:paraId="5537D93B" w14:textId="1C3CD24E" w:rsidR="008865F1" w:rsidRDefault="008865F1" w:rsidP="00E71696">
            <w:r>
              <w:t>(80,572)</w:t>
            </w:r>
          </w:p>
        </w:tc>
        <w:tc>
          <w:tcPr>
            <w:tcW w:w="2186" w:type="dxa"/>
          </w:tcPr>
          <w:p w14:paraId="5A9582D3" w14:textId="645CB634" w:rsidR="008865F1" w:rsidRDefault="008865F1" w:rsidP="00E71696">
            <w:r>
              <w:t>(91,861)</w:t>
            </w:r>
          </w:p>
        </w:tc>
      </w:tr>
      <w:tr w:rsidR="008865F1" w14:paraId="0F98A61E" w14:textId="77777777" w:rsidTr="008865F1">
        <w:tc>
          <w:tcPr>
            <w:tcW w:w="5495" w:type="dxa"/>
          </w:tcPr>
          <w:p w14:paraId="14EFA0DE" w14:textId="53C6C7C0" w:rsidR="008865F1" w:rsidRDefault="008865F1" w:rsidP="00E71696">
            <w:r>
              <w:t>Employee benefits</w:t>
            </w:r>
          </w:p>
        </w:tc>
        <w:tc>
          <w:tcPr>
            <w:tcW w:w="1559" w:type="dxa"/>
          </w:tcPr>
          <w:p w14:paraId="47FB21A4" w14:textId="0BE9E8F2" w:rsidR="008865F1" w:rsidRDefault="008865F1" w:rsidP="00E71696">
            <w:r>
              <w:t>78,937</w:t>
            </w:r>
          </w:p>
        </w:tc>
        <w:tc>
          <w:tcPr>
            <w:tcW w:w="2186" w:type="dxa"/>
          </w:tcPr>
          <w:p w14:paraId="084664E0" w14:textId="279A3760" w:rsidR="008865F1" w:rsidRDefault="008865F1" w:rsidP="00E71696">
            <w:r>
              <w:t>(21,217)</w:t>
            </w:r>
          </w:p>
        </w:tc>
      </w:tr>
      <w:tr w:rsidR="008865F1" w14:paraId="4EDDB6FC" w14:textId="77777777" w:rsidTr="008865F1">
        <w:tc>
          <w:tcPr>
            <w:tcW w:w="5495" w:type="dxa"/>
          </w:tcPr>
          <w:p w14:paraId="6E297DF9" w14:textId="624B1ED6" w:rsidR="008865F1" w:rsidRDefault="008865F1" w:rsidP="00E71696">
            <w:r>
              <w:t>Other</w:t>
            </w:r>
          </w:p>
        </w:tc>
        <w:tc>
          <w:tcPr>
            <w:tcW w:w="1559" w:type="dxa"/>
            <w:tcBorders>
              <w:bottom w:val="single" w:sz="4" w:space="0" w:color="auto"/>
            </w:tcBorders>
          </w:tcPr>
          <w:p w14:paraId="48D2B8AF" w14:textId="76EAE416" w:rsidR="008865F1" w:rsidRDefault="008865F1" w:rsidP="00E71696">
            <w:r>
              <w:t>(193,506)</w:t>
            </w:r>
          </w:p>
        </w:tc>
        <w:tc>
          <w:tcPr>
            <w:tcW w:w="2186" w:type="dxa"/>
            <w:tcBorders>
              <w:bottom w:val="single" w:sz="4" w:space="0" w:color="auto"/>
            </w:tcBorders>
          </w:tcPr>
          <w:p w14:paraId="5703FBBF" w14:textId="2C3D12DC" w:rsidR="008865F1" w:rsidRDefault="008865F1" w:rsidP="00E71696">
            <w:r>
              <w:t>(175,668)</w:t>
            </w:r>
          </w:p>
        </w:tc>
      </w:tr>
      <w:tr w:rsidR="008865F1" w14:paraId="3D11C35A" w14:textId="77777777" w:rsidTr="008865F1">
        <w:tc>
          <w:tcPr>
            <w:tcW w:w="5495" w:type="dxa"/>
          </w:tcPr>
          <w:p w14:paraId="0CE6460B" w14:textId="77777777" w:rsidR="008865F1" w:rsidRDefault="008865F1" w:rsidP="00E71696"/>
        </w:tc>
        <w:tc>
          <w:tcPr>
            <w:tcW w:w="1559" w:type="dxa"/>
            <w:tcBorders>
              <w:top w:val="single" w:sz="4" w:space="0" w:color="auto"/>
              <w:bottom w:val="double" w:sz="4" w:space="0" w:color="auto"/>
            </w:tcBorders>
          </w:tcPr>
          <w:p w14:paraId="7919CD50" w14:textId="6D8018DA" w:rsidR="008865F1" w:rsidRDefault="008865F1" w:rsidP="00E71696">
            <w:r>
              <w:t>(1,131,733)</w:t>
            </w:r>
          </w:p>
        </w:tc>
        <w:tc>
          <w:tcPr>
            <w:tcW w:w="2186" w:type="dxa"/>
            <w:tcBorders>
              <w:top w:val="single" w:sz="4" w:space="0" w:color="auto"/>
              <w:bottom w:val="double" w:sz="4" w:space="0" w:color="auto"/>
            </w:tcBorders>
          </w:tcPr>
          <w:p w14:paraId="6DE6748A" w14:textId="66465622" w:rsidR="008865F1" w:rsidRDefault="008865F1" w:rsidP="00E71696">
            <w:r>
              <w:t>(1,261,915)</w:t>
            </w:r>
          </w:p>
        </w:tc>
      </w:tr>
    </w:tbl>
    <w:p w14:paraId="53575398" w14:textId="77777777" w:rsidR="004D0D34" w:rsidRDefault="004D0D34" w:rsidP="00E71696"/>
    <w:p w14:paraId="607F960D" w14:textId="77777777" w:rsidR="00E91B80" w:rsidRDefault="00E91B80" w:rsidP="00E91B80">
      <w:pPr>
        <w:jc w:val="center"/>
        <w:rPr>
          <w:i/>
        </w:rPr>
      </w:pPr>
      <w:bookmarkStart w:id="8" w:name="_GoBack"/>
      <w:bookmarkEnd w:id="8"/>
    </w:p>
    <w:p w14:paraId="2A02DA63" w14:textId="6AC69CF0" w:rsidR="00E91B80" w:rsidRDefault="00E91B80" w:rsidP="00E91B80">
      <w:pPr>
        <w:jc w:val="center"/>
      </w:pPr>
      <w:r w:rsidRPr="00E91B80">
        <w:rPr>
          <w:i/>
        </w:rPr>
        <w:t>These notes form part of the financial statements</w:t>
      </w:r>
    </w:p>
    <w:p w14:paraId="55CFB6A0" w14:textId="77777777" w:rsidR="00E91B80" w:rsidRDefault="00E91B80">
      <w:pPr>
        <w:spacing w:after="200"/>
        <w:ind w:right="0"/>
      </w:pPr>
      <w:r>
        <w:br w:type="page"/>
      </w:r>
    </w:p>
    <w:tbl>
      <w:tblPr>
        <w:tblStyle w:val="TableGrid"/>
        <w:tblW w:w="92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uditor remuneration"/>
      </w:tblPr>
      <w:tblGrid>
        <w:gridCol w:w="5326"/>
        <w:gridCol w:w="1554"/>
        <w:gridCol w:w="2365"/>
      </w:tblGrid>
      <w:tr w:rsidR="00B90CF7" w:rsidRPr="00D40661" w14:paraId="68E3FF89" w14:textId="77777777" w:rsidTr="00F42C98">
        <w:trPr>
          <w:cnfStyle w:val="100000000000" w:firstRow="1" w:lastRow="0" w:firstColumn="0" w:lastColumn="0" w:oddVBand="0" w:evenVBand="0" w:oddHBand="0" w:evenHBand="0" w:firstRowFirstColumn="0" w:firstRowLastColumn="0" w:lastRowFirstColumn="0" w:lastRowLastColumn="0"/>
          <w:tblHeader/>
          <w:jc w:val="center"/>
        </w:trPr>
        <w:tc>
          <w:tcPr>
            <w:tcW w:w="5326" w:type="dxa"/>
          </w:tcPr>
          <w:p w14:paraId="4A80DA03" w14:textId="77777777" w:rsidR="00B90CF7" w:rsidRPr="00ED467E" w:rsidRDefault="00CB5652" w:rsidP="005132DB">
            <w:pPr>
              <w:pStyle w:val="Heading2"/>
              <w:outlineLvl w:val="1"/>
            </w:pPr>
            <w:r>
              <w:lastRenderedPageBreak/>
              <w:t>5.</w:t>
            </w:r>
            <w:r w:rsidR="000B4B10">
              <w:t xml:space="preserve"> </w:t>
            </w:r>
            <w:r w:rsidR="00B90CF7" w:rsidRPr="00ED467E">
              <w:t>Auditor’s Remuneration</w:t>
            </w:r>
          </w:p>
        </w:tc>
        <w:tc>
          <w:tcPr>
            <w:tcW w:w="1554" w:type="dxa"/>
          </w:tcPr>
          <w:p w14:paraId="4C387AF5" w14:textId="77777777" w:rsidR="00B90CF7" w:rsidRPr="00D40661" w:rsidRDefault="00EF1D9F" w:rsidP="00E71696">
            <w:r>
              <w:t>2016</w:t>
            </w:r>
            <w:r w:rsidR="00B90CF7">
              <w:br/>
              <w:t>$</w:t>
            </w:r>
          </w:p>
        </w:tc>
        <w:tc>
          <w:tcPr>
            <w:tcW w:w="2365" w:type="dxa"/>
          </w:tcPr>
          <w:p w14:paraId="2DD1E8FD" w14:textId="77777777" w:rsidR="00B90CF7" w:rsidRPr="00D40661" w:rsidRDefault="00EF1D9F" w:rsidP="00E71696">
            <w:r>
              <w:t>2015</w:t>
            </w:r>
            <w:r w:rsidR="00B90CF7">
              <w:br/>
              <w:t>$</w:t>
            </w:r>
          </w:p>
        </w:tc>
      </w:tr>
      <w:tr w:rsidR="00745DF0" w:rsidRPr="00D40661" w14:paraId="22D3054E" w14:textId="77777777" w:rsidTr="00F42C98">
        <w:trPr>
          <w:jc w:val="center"/>
        </w:trPr>
        <w:tc>
          <w:tcPr>
            <w:tcW w:w="5326" w:type="dxa"/>
          </w:tcPr>
          <w:p w14:paraId="0DCF0B81" w14:textId="77777777" w:rsidR="00745DF0" w:rsidRPr="00D40661" w:rsidRDefault="00745DF0" w:rsidP="00E71696">
            <w:r w:rsidRPr="00D40661">
              <w:t>Audit Services</w:t>
            </w:r>
          </w:p>
        </w:tc>
        <w:tc>
          <w:tcPr>
            <w:tcW w:w="1554" w:type="dxa"/>
            <w:tcBorders>
              <w:bottom w:val="single" w:sz="4" w:space="0" w:color="auto"/>
            </w:tcBorders>
          </w:tcPr>
          <w:p w14:paraId="5AF91A72" w14:textId="77777777" w:rsidR="00745DF0" w:rsidRPr="00D40661" w:rsidRDefault="00137352" w:rsidP="00E71696">
            <w:r>
              <w:t>(</w:t>
            </w:r>
            <w:r w:rsidR="00672B43">
              <w:t>18,765)</w:t>
            </w:r>
          </w:p>
        </w:tc>
        <w:tc>
          <w:tcPr>
            <w:tcW w:w="2365" w:type="dxa"/>
            <w:tcBorders>
              <w:bottom w:val="single" w:sz="4" w:space="0" w:color="auto"/>
            </w:tcBorders>
          </w:tcPr>
          <w:p w14:paraId="2178654D" w14:textId="77777777" w:rsidR="00745DF0" w:rsidRPr="00D40661" w:rsidRDefault="00745DF0" w:rsidP="00E71696">
            <w:r>
              <w:t>(14,740)</w:t>
            </w:r>
          </w:p>
        </w:tc>
      </w:tr>
      <w:tr w:rsidR="00B90CF7" w:rsidRPr="00D40661" w14:paraId="21F9D735" w14:textId="77777777" w:rsidTr="00F42C98">
        <w:trPr>
          <w:jc w:val="center"/>
        </w:trPr>
        <w:tc>
          <w:tcPr>
            <w:tcW w:w="5326" w:type="dxa"/>
          </w:tcPr>
          <w:p w14:paraId="147F3C02" w14:textId="77777777" w:rsidR="00B90CF7" w:rsidRPr="00D40661" w:rsidRDefault="00B90CF7" w:rsidP="00E71696"/>
        </w:tc>
        <w:tc>
          <w:tcPr>
            <w:tcW w:w="1554" w:type="dxa"/>
            <w:tcBorders>
              <w:top w:val="single" w:sz="4" w:space="0" w:color="auto"/>
              <w:bottom w:val="double" w:sz="4" w:space="0" w:color="auto"/>
            </w:tcBorders>
          </w:tcPr>
          <w:p w14:paraId="702DD4D1" w14:textId="77777777" w:rsidR="00B90CF7" w:rsidRPr="00D40661" w:rsidRDefault="000D73AD" w:rsidP="00E71696">
            <w:r>
              <w:t>(18,765)</w:t>
            </w:r>
          </w:p>
        </w:tc>
        <w:tc>
          <w:tcPr>
            <w:tcW w:w="2365" w:type="dxa"/>
            <w:tcBorders>
              <w:top w:val="single" w:sz="4" w:space="0" w:color="auto"/>
              <w:bottom w:val="double" w:sz="4" w:space="0" w:color="auto"/>
            </w:tcBorders>
          </w:tcPr>
          <w:p w14:paraId="294A49B1" w14:textId="77777777" w:rsidR="00B90CF7" w:rsidRPr="00D40661" w:rsidRDefault="00B90CF7" w:rsidP="00E71696">
            <w:r>
              <w:t>(</w:t>
            </w:r>
            <w:r w:rsidRPr="00D40661">
              <w:t>14,740</w:t>
            </w:r>
            <w:r>
              <w:t>)</w:t>
            </w:r>
          </w:p>
        </w:tc>
      </w:tr>
    </w:tbl>
    <w:p w14:paraId="07CA321A" w14:textId="19AC5C19" w:rsidR="00E91B80" w:rsidRDefault="00E91B80">
      <w:pPr>
        <w:spacing w:after="200"/>
        <w:ind w:right="0"/>
      </w:pPr>
    </w:p>
    <w:tbl>
      <w:tblPr>
        <w:tblStyle w:val="TableGrid"/>
        <w:tblW w:w="92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ash and cash equivalents"/>
      </w:tblPr>
      <w:tblGrid>
        <w:gridCol w:w="5326"/>
        <w:gridCol w:w="1555"/>
        <w:gridCol w:w="2348"/>
      </w:tblGrid>
      <w:tr w:rsidR="00B90CF7" w:rsidRPr="00522D47" w14:paraId="1E26EABD" w14:textId="77777777" w:rsidTr="00F42C98">
        <w:trPr>
          <w:cnfStyle w:val="100000000000" w:firstRow="1" w:lastRow="0" w:firstColumn="0" w:lastColumn="0" w:oddVBand="0" w:evenVBand="0" w:oddHBand="0" w:evenHBand="0" w:firstRowFirstColumn="0" w:firstRowLastColumn="0" w:lastRowFirstColumn="0" w:lastRowLastColumn="0"/>
          <w:tblHeader/>
          <w:jc w:val="center"/>
        </w:trPr>
        <w:tc>
          <w:tcPr>
            <w:tcW w:w="5326" w:type="dxa"/>
          </w:tcPr>
          <w:p w14:paraId="0BE81A7B" w14:textId="77777777" w:rsidR="00B90CF7" w:rsidRPr="00522D47" w:rsidRDefault="00712378" w:rsidP="005132DB">
            <w:pPr>
              <w:pStyle w:val="Heading2"/>
              <w:outlineLvl w:val="1"/>
            </w:pPr>
            <w:r w:rsidRPr="00522D47">
              <w:t>6.</w:t>
            </w:r>
            <w:r w:rsidR="000B4B10" w:rsidRPr="00522D47">
              <w:t xml:space="preserve"> </w:t>
            </w:r>
            <w:r w:rsidR="00B90CF7" w:rsidRPr="00522D47">
              <w:t>Cash and Cash Equivalents</w:t>
            </w:r>
          </w:p>
        </w:tc>
        <w:tc>
          <w:tcPr>
            <w:tcW w:w="1555" w:type="dxa"/>
          </w:tcPr>
          <w:p w14:paraId="624C8F96" w14:textId="77777777" w:rsidR="00B90CF7" w:rsidRPr="00522D47" w:rsidRDefault="00EF1D9F" w:rsidP="00E71696">
            <w:r>
              <w:t>2016</w:t>
            </w:r>
            <w:r w:rsidR="00B90CF7" w:rsidRPr="00522D47">
              <w:br/>
              <w:t>$</w:t>
            </w:r>
          </w:p>
        </w:tc>
        <w:tc>
          <w:tcPr>
            <w:tcW w:w="2348" w:type="dxa"/>
          </w:tcPr>
          <w:p w14:paraId="2E2D6275" w14:textId="77777777" w:rsidR="00B90CF7" w:rsidRPr="00522D47" w:rsidRDefault="00EF1D9F" w:rsidP="00E71696">
            <w:r>
              <w:t>2015</w:t>
            </w:r>
            <w:r w:rsidR="00B90CF7" w:rsidRPr="00522D47">
              <w:br/>
              <w:t>$</w:t>
            </w:r>
          </w:p>
        </w:tc>
      </w:tr>
      <w:tr w:rsidR="00F2616A" w:rsidRPr="00522D47" w14:paraId="4F0A06D4" w14:textId="77777777" w:rsidTr="00F42C98">
        <w:trPr>
          <w:jc w:val="center"/>
        </w:trPr>
        <w:tc>
          <w:tcPr>
            <w:tcW w:w="5326" w:type="dxa"/>
          </w:tcPr>
          <w:p w14:paraId="56080C08" w14:textId="77777777" w:rsidR="00F2616A" w:rsidRPr="00522D47" w:rsidRDefault="00F2616A" w:rsidP="00E71696">
            <w:r w:rsidRPr="00522D47">
              <w:t>Cash on Hand</w:t>
            </w:r>
          </w:p>
        </w:tc>
        <w:tc>
          <w:tcPr>
            <w:tcW w:w="1555" w:type="dxa"/>
          </w:tcPr>
          <w:p w14:paraId="0DC271AA" w14:textId="77777777" w:rsidR="00F2616A" w:rsidRPr="00522D47" w:rsidRDefault="00672B43" w:rsidP="00E71696">
            <w:r>
              <w:t>200</w:t>
            </w:r>
          </w:p>
        </w:tc>
        <w:tc>
          <w:tcPr>
            <w:tcW w:w="2348" w:type="dxa"/>
          </w:tcPr>
          <w:p w14:paraId="778F49AA" w14:textId="77777777" w:rsidR="00F2616A" w:rsidRPr="00522D47" w:rsidRDefault="00F2616A" w:rsidP="00E71696">
            <w:r w:rsidRPr="00522D47">
              <w:t>200</w:t>
            </w:r>
          </w:p>
        </w:tc>
      </w:tr>
      <w:tr w:rsidR="00745DF0" w:rsidRPr="00522D47" w14:paraId="4ECAC547" w14:textId="77777777" w:rsidTr="00F42C98">
        <w:trPr>
          <w:jc w:val="center"/>
        </w:trPr>
        <w:tc>
          <w:tcPr>
            <w:tcW w:w="5326" w:type="dxa"/>
          </w:tcPr>
          <w:p w14:paraId="4EB4C776" w14:textId="77777777" w:rsidR="00745DF0" w:rsidRPr="00522D47" w:rsidRDefault="00745DF0" w:rsidP="00E71696">
            <w:r w:rsidRPr="00522D47">
              <w:t>Cash at Bank</w:t>
            </w:r>
          </w:p>
        </w:tc>
        <w:tc>
          <w:tcPr>
            <w:tcW w:w="1555" w:type="dxa"/>
          </w:tcPr>
          <w:p w14:paraId="0854C88C" w14:textId="77777777" w:rsidR="00745DF0" w:rsidRPr="00522D47" w:rsidRDefault="00672B43" w:rsidP="00E71696">
            <w:r>
              <w:t>1,007,811</w:t>
            </w:r>
          </w:p>
        </w:tc>
        <w:tc>
          <w:tcPr>
            <w:tcW w:w="2348" w:type="dxa"/>
          </w:tcPr>
          <w:p w14:paraId="379E4BB2" w14:textId="77777777" w:rsidR="00745DF0" w:rsidRPr="00522D47" w:rsidRDefault="00745DF0" w:rsidP="00E71696">
            <w:r w:rsidRPr="00522D47">
              <w:t>1,046,963</w:t>
            </w:r>
          </w:p>
        </w:tc>
      </w:tr>
      <w:tr w:rsidR="00745DF0" w:rsidRPr="00522D47" w14:paraId="7E13EDFB" w14:textId="77777777" w:rsidTr="00F42C98">
        <w:trPr>
          <w:jc w:val="center"/>
        </w:trPr>
        <w:tc>
          <w:tcPr>
            <w:tcW w:w="5326" w:type="dxa"/>
          </w:tcPr>
          <w:p w14:paraId="53FF17EC" w14:textId="77777777" w:rsidR="00745DF0" w:rsidRPr="00522D47" w:rsidRDefault="00745DF0" w:rsidP="00E71696">
            <w:r w:rsidRPr="00522D47">
              <w:t>Short-term Deposits</w:t>
            </w:r>
          </w:p>
        </w:tc>
        <w:tc>
          <w:tcPr>
            <w:tcW w:w="1555" w:type="dxa"/>
            <w:tcBorders>
              <w:bottom w:val="single" w:sz="4" w:space="0" w:color="auto"/>
            </w:tcBorders>
          </w:tcPr>
          <w:p w14:paraId="7C459E7C" w14:textId="77777777" w:rsidR="00745DF0" w:rsidRPr="00522D47" w:rsidRDefault="00672B43" w:rsidP="00E71696">
            <w:r>
              <w:t>29,897</w:t>
            </w:r>
          </w:p>
        </w:tc>
        <w:tc>
          <w:tcPr>
            <w:tcW w:w="2348" w:type="dxa"/>
            <w:tcBorders>
              <w:bottom w:val="single" w:sz="4" w:space="0" w:color="auto"/>
            </w:tcBorders>
          </w:tcPr>
          <w:p w14:paraId="15DDEE84" w14:textId="77777777" w:rsidR="00745DF0" w:rsidRPr="00522D47" w:rsidRDefault="00745DF0" w:rsidP="00E71696">
            <w:r w:rsidRPr="00522D47">
              <w:t>29,461</w:t>
            </w:r>
          </w:p>
        </w:tc>
      </w:tr>
      <w:tr w:rsidR="00745DF0" w:rsidRPr="00D40661" w14:paraId="1898F889" w14:textId="77777777" w:rsidTr="00F42C98">
        <w:trPr>
          <w:jc w:val="center"/>
        </w:trPr>
        <w:tc>
          <w:tcPr>
            <w:tcW w:w="5326" w:type="dxa"/>
          </w:tcPr>
          <w:p w14:paraId="5D9DA095" w14:textId="77777777" w:rsidR="00745DF0" w:rsidRPr="00522D47" w:rsidRDefault="00745DF0" w:rsidP="00E71696"/>
        </w:tc>
        <w:tc>
          <w:tcPr>
            <w:tcW w:w="1555" w:type="dxa"/>
            <w:tcBorders>
              <w:top w:val="single" w:sz="4" w:space="0" w:color="auto"/>
              <w:bottom w:val="double" w:sz="4" w:space="0" w:color="auto"/>
            </w:tcBorders>
          </w:tcPr>
          <w:p w14:paraId="03264B46" w14:textId="77777777" w:rsidR="00745DF0" w:rsidRPr="00522D47" w:rsidRDefault="00672B43" w:rsidP="00E71696">
            <w:r>
              <w:t>1,037,908</w:t>
            </w:r>
          </w:p>
        </w:tc>
        <w:tc>
          <w:tcPr>
            <w:tcW w:w="2348" w:type="dxa"/>
            <w:tcBorders>
              <w:top w:val="single" w:sz="4" w:space="0" w:color="auto"/>
              <w:bottom w:val="double" w:sz="4" w:space="0" w:color="auto"/>
            </w:tcBorders>
          </w:tcPr>
          <w:p w14:paraId="6F22796B" w14:textId="77777777" w:rsidR="00745DF0" w:rsidRPr="00522D47" w:rsidRDefault="00745DF0" w:rsidP="00E71696">
            <w:r w:rsidRPr="00522D47">
              <w:t>1,076,624</w:t>
            </w:r>
          </w:p>
        </w:tc>
      </w:tr>
    </w:tbl>
    <w:p w14:paraId="615B4E27" w14:textId="18D1B0A7" w:rsidR="00685106" w:rsidRPr="00E171F7" w:rsidRDefault="00685106" w:rsidP="00E71696">
      <w:pPr>
        <w:rPr>
          <w:sz w:val="24"/>
          <w:szCs w:val="24"/>
        </w:rPr>
      </w:pPr>
    </w:p>
    <w:tbl>
      <w:tblPr>
        <w:tblStyle w:val="TableGrid"/>
        <w:tblW w:w="92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rade and other receivables"/>
      </w:tblPr>
      <w:tblGrid>
        <w:gridCol w:w="5326"/>
        <w:gridCol w:w="1588"/>
        <w:gridCol w:w="2318"/>
      </w:tblGrid>
      <w:tr w:rsidR="00362112" w:rsidRPr="00522D47" w14:paraId="172F88BB" w14:textId="77777777" w:rsidTr="00F42C98">
        <w:trPr>
          <w:cnfStyle w:val="100000000000" w:firstRow="1" w:lastRow="0" w:firstColumn="0" w:lastColumn="0" w:oddVBand="0" w:evenVBand="0" w:oddHBand="0" w:evenHBand="0" w:firstRowFirstColumn="0" w:firstRowLastColumn="0" w:lastRowFirstColumn="0" w:lastRowLastColumn="0"/>
          <w:tblHeader/>
          <w:jc w:val="center"/>
        </w:trPr>
        <w:tc>
          <w:tcPr>
            <w:tcW w:w="5326" w:type="dxa"/>
          </w:tcPr>
          <w:p w14:paraId="06D20FCE" w14:textId="77777777" w:rsidR="00362112" w:rsidRPr="00522D47" w:rsidRDefault="00CB5652" w:rsidP="005132DB">
            <w:pPr>
              <w:pStyle w:val="Heading2"/>
              <w:outlineLvl w:val="1"/>
              <w:rPr>
                <w:sz w:val="24"/>
                <w:szCs w:val="24"/>
              </w:rPr>
            </w:pPr>
            <w:r w:rsidRPr="00522D47">
              <w:t>7.</w:t>
            </w:r>
            <w:r w:rsidR="000B4B10" w:rsidRPr="00522D47">
              <w:t xml:space="preserve"> </w:t>
            </w:r>
            <w:r w:rsidR="00362112" w:rsidRPr="00522D47">
              <w:t>Trade and Other Receivables</w:t>
            </w:r>
          </w:p>
        </w:tc>
        <w:tc>
          <w:tcPr>
            <w:tcW w:w="1588" w:type="dxa"/>
          </w:tcPr>
          <w:p w14:paraId="43B4F8F3" w14:textId="77777777" w:rsidR="00362112" w:rsidRPr="00522D47" w:rsidRDefault="00EF1D9F" w:rsidP="00E71696">
            <w:r>
              <w:t>2016</w:t>
            </w:r>
            <w:r w:rsidR="00362112" w:rsidRPr="00522D47">
              <w:br/>
              <w:t>$</w:t>
            </w:r>
          </w:p>
        </w:tc>
        <w:tc>
          <w:tcPr>
            <w:tcW w:w="2318" w:type="dxa"/>
          </w:tcPr>
          <w:p w14:paraId="10BF5514" w14:textId="77777777" w:rsidR="00362112" w:rsidRPr="00522D47" w:rsidRDefault="00EF1D9F" w:rsidP="00E71696">
            <w:r>
              <w:t>2015</w:t>
            </w:r>
            <w:r w:rsidR="00362112" w:rsidRPr="00522D47">
              <w:br/>
              <w:t>$</w:t>
            </w:r>
          </w:p>
        </w:tc>
      </w:tr>
      <w:tr w:rsidR="007E4389" w:rsidRPr="00522D47" w14:paraId="0B01B394" w14:textId="77777777" w:rsidTr="00F42C98">
        <w:trPr>
          <w:jc w:val="center"/>
        </w:trPr>
        <w:tc>
          <w:tcPr>
            <w:tcW w:w="5326" w:type="dxa"/>
          </w:tcPr>
          <w:p w14:paraId="159D24B6" w14:textId="77777777" w:rsidR="007E4389" w:rsidRPr="00E91B80" w:rsidRDefault="007E4389" w:rsidP="00E71696">
            <w:pPr>
              <w:rPr>
                <w:b/>
              </w:rPr>
            </w:pPr>
            <w:r w:rsidRPr="00E91B80">
              <w:rPr>
                <w:b/>
              </w:rPr>
              <w:t>Current</w:t>
            </w:r>
          </w:p>
        </w:tc>
        <w:tc>
          <w:tcPr>
            <w:tcW w:w="1588" w:type="dxa"/>
          </w:tcPr>
          <w:p w14:paraId="48960520" w14:textId="77777777" w:rsidR="007E4389" w:rsidRPr="00522D47" w:rsidRDefault="007E4389" w:rsidP="00E71696"/>
        </w:tc>
        <w:tc>
          <w:tcPr>
            <w:tcW w:w="2318" w:type="dxa"/>
          </w:tcPr>
          <w:p w14:paraId="3E4F8081" w14:textId="77777777" w:rsidR="007E4389" w:rsidRPr="00522D47" w:rsidRDefault="007E4389" w:rsidP="00E71696"/>
        </w:tc>
      </w:tr>
      <w:tr w:rsidR="00745DF0" w:rsidRPr="00522D47" w14:paraId="09550AA4" w14:textId="77777777" w:rsidTr="00F42C98">
        <w:trPr>
          <w:jc w:val="center"/>
        </w:trPr>
        <w:tc>
          <w:tcPr>
            <w:tcW w:w="5326" w:type="dxa"/>
          </w:tcPr>
          <w:p w14:paraId="5B52D8A8" w14:textId="77777777" w:rsidR="00745DF0" w:rsidRPr="00522D47" w:rsidRDefault="00745DF0" w:rsidP="00E71696">
            <w:r w:rsidRPr="00522D47">
              <w:t>Trade and other receivables</w:t>
            </w:r>
          </w:p>
        </w:tc>
        <w:tc>
          <w:tcPr>
            <w:tcW w:w="1588" w:type="dxa"/>
            <w:tcBorders>
              <w:bottom w:val="single" w:sz="4" w:space="0" w:color="auto"/>
            </w:tcBorders>
          </w:tcPr>
          <w:p w14:paraId="144E7F19" w14:textId="77777777" w:rsidR="00745DF0" w:rsidRPr="00522D47" w:rsidRDefault="00672B43" w:rsidP="00E71696">
            <w:r>
              <w:t>324,259</w:t>
            </w:r>
          </w:p>
        </w:tc>
        <w:tc>
          <w:tcPr>
            <w:tcW w:w="2318" w:type="dxa"/>
            <w:tcBorders>
              <w:bottom w:val="single" w:sz="4" w:space="0" w:color="auto"/>
            </w:tcBorders>
          </w:tcPr>
          <w:p w14:paraId="226EA24C" w14:textId="77777777" w:rsidR="00745DF0" w:rsidRPr="00522D47" w:rsidRDefault="00745DF0" w:rsidP="00E71696">
            <w:r w:rsidRPr="00522D47">
              <w:t>156,658</w:t>
            </w:r>
          </w:p>
        </w:tc>
      </w:tr>
      <w:tr w:rsidR="00745DF0" w:rsidRPr="00362112" w14:paraId="7DABDC7C" w14:textId="77777777" w:rsidTr="00F42C98">
        <w:trPr>
          <w:jc w:val="center"/>
        </w:trPr>
        <w:tc>
          <w:tcPr>
            <w:tcW w:w="5326" w:type="dxa"/>
          </w:tcPr>
          <w:p w14:paraId="1E85DE91" w14:textId="77777777" w:rsidR="00745DF0" w:rsidRPr="00E91B80" w:rsidRDefault="00745DF0" w:rsidP="00E71696">
            <w:pPr>
              <w:rPr>
                <w:b/>
              </w:rPr>
            </w:pPr>
            <w:r w:rsidRPr="00E91B80">
              <w:rPr>
                <w:b/>
              </w:rPr>
              <w:t>Total Trade and Other Receivables</w:t>
            </w:r>
          </w:p>
        </w:tc>
        <w:tc>
          <w:tcPr>
            <w:tcW w:w="1588" w:type="dxa"/>
            <w:tcBorders>
              <w:top w:val="single" w:sz="4" w:space="0" w:color="auto"/>
              <w:bottom w:val="double" w:sz="4" w:space="0" w:color="auto"/>
            </w:tcBorders>
          </w:tcPr>
          <w:p w14:paraId="10B821DE" w14:textId="77777777" w:rsidR="00745DF0" w:rsidRPr="00522D47" w:rsidRDefault="00672B43" w:rsidP="00E71696">
            <w:r>
              <w:t>324,259</w:t>
            </w:r>
          </w:p>
        </w:tc>
        <w:tc>
          <w:tcPr>
            <w:tcW w:w="2318" w:type="dxa"/>
            <w:tcBorders>
              <w:top w:val="single" w:sz="4" w:space="0" w:color="auto"/>
              <w:bottom w:val="double" w:sz="4" w:space="0" w:color="auto"/>
            </w:tcBorders>
          </w:tcPr>
          <w:p w14:paraId="02F7F62D" w14:textId="77777777" w:rsidR="00745DF0" w:rsidRPr="00522D47" w:rsidRDefault="00745DF0" w:rsidP="00E71696">
            <w:r w:rsidRPr="00522D47">
              <w:t>156,658</w:t>
            </w:r>
          </w:p>
        </w:tc>
      </w:tr>
    </w:tbl>
    <w:p w14:paraId="45366D78" w14:textId="77777777" w:rsidR="00D2400B" w:rsidRPr="00662339" w:rsidRDefault="00D2400B" w:rsidP="00E71696"/>
    <w:p w14:paraId="54127F11" w14:textId="77777777" w:rsidR="00D2400B" w:rsidRPr="00E91B80" w:rsidRDefault="00D2400B" w:rsidP="00E71696">
      <w:pPr>
        <w:rPr>
          <w:b/>
        </w:rPr>
      </w:pPr>
      <w:r w:rsidRPr="00E91B80">
        <w:rPr>
          <w:b/>
        </w:rPr>
        <w:t>Credit Risk – Trade and Other Receivables</w:t>
      </w:r>
    </w:p>
    <w:p w14:paraId="64A18D49" w14:textId="293C7FDD" w:rsidR="00E91B80" w:rsidRDefault="00D2400B" w:rsidP="00E71696">
      <w:r w:rsidRPr="00662339">
        <w:t>The company does not have any material credit risk exposure to any single receivable or group of receivables</w:t>
      </w:r>
      <w:r w:rsidR="00F4624F">
        <w:t>.</w:t>
      </w:r>
    </w:p>
    <w:p w14:paraId="2A709374" w14:textId="77777777" w:rsidR="00603B49" w:rsidRDefault="00603B49" w:rsidP="00E71696"/>
    <w:p w14:paraId="3BD5A348" w14:textId="43437A83" w:rsidR="00603B49" w:rsidRDefault="00603B49" w:rsidP="00603B49">
      <w:pPr>
        <w:jc w:val="center"/>
      </w:pPr>
      <w:r w:rsidRPr="00E91B80">
        <w:rPr>
          <w:i/>
        </w:rPr>
        <w:t>These notes form part of the financial statements</w:t>
      </w:r>
    </w:p>
    <w:p w14:paraId="1101FAC2" w14:textId="77777777" w:rsidR="00E91B80" w:rsidRDefault="00E91B80">
      <w:pPr>
        <w:spacing w:after="200"/>
        <w:ind w:right="0"/>
      </w:pPr>
      <w:r>
        <w:br w:type="page"/>
      </w:r>
    </w:p>
    <w:tbl>
      <w:tblPr>
        <w:tblStyle w:val="TableGrid"/>
        <w:tblW w:w="92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rade and other receivables"/>
      </w:tblPr>
      <w:tblGrid>
        <w:gridCol w:w="5326"/>
        <w:gridCol w:w="1588"/>
        <w:gridCol w:w="2318"/>
      </w:tblGrid>
      <w:tr w:rsidR="000F252A" w:rsidRPr="00362112" w14:paraId="6B06833E" w14:textId="77777777" w:rsidTr="00134384">
        <w:trPr>
          <w:cnfStyle w:val="100000000000" w:firstRow="1" w:lastRow="0" w:firstColumn="0" w:lastColumn="0" w:oddVBand="0" w:evenVBand="0" w:oddHBand="0" w:evenHBand="0" w:firstRowFirstColumn="0" w:firstRowLastColumn="0" w:lastRowFirstColumn="0" w:lastRowLastColumn="0"/>
          <w:tblHeader/>
          <w:jc w:val="center"/>
        </w:trPr>
        <w:tc>
          <w:tcPr>
            <w:tcW w:w="5326" w:type="dxa"/>
          </w:tcPr>
          <w:p w14:paraId="767AA8C7" w14:textId="77777777" w:rsidR="000F252A" w:rsidRPr="00522D47" w:rsidRDefault="000F252A" w:rsidP="005132DB">
            <w:pPr>
              <w:pStyle w:val="Heading2"/>
              <w:outlineLvl w:val="1"/>
              <w:rPr>
                <w:sz w:val="24"/>
                <w:szCs w:val="24"/>
              </w:rPr>
            </w:pPr>
            <w:r w:rsidRPr="00522D47">
              <w:lastRenderedPageBreak/>
              <w:t>8.</w:t>
            </w:r>
            <w:r w:rsidR="000B4B10" w:rsidRPr="00522D47">
              <w:t xml:space="preserve"> </w:t>
            </w:r>
            <w:r w:rsidRPr="00522D47">
              <w:t>Financial Assets</w:t>
            </w:r>
          </w:p>
        </w:tc>
        <w:tc>
          <w:tcPr>
            <w:tcW w:w="1588" w:type="dxa"/>
          </w:tcPr>
          <w:p w14:paraId="5AA9E43C" w14:textId="77777777" w:rsidR="000F252A" w:rsidRPr="00522D47" w:rsidRDefault="00EF1D9F" w:rsidP="00E71696">
            <w:r>
              <w:t>2016</w:t>
            </w:r>
            <w:r w:rsidR="000F252A" w:rsidRPr="00522D47">
              <w:br/>
              <w:t>$</w:t>
            </w:r>
          </w:p>
        </w:tc>
        <w:tc>
          <w:tcPr>
            <w:tcW w:w="2318" w:type="dxa"/>
          </w:tcPr>
          <w:p w14:paraId="42A5BB12" w14:textId="77777777" w:rsidR="000F252A" w:rsidRPr="00522D47" w:rsidRDefault="00EF1D9F" w:rsidP="00E71696">
            <w:r>
              <w:t>2015</w:t>
            </w:r>
            <w:r w:rsidR="000F252A" w:rsidRPr="00522D47">
              <w:br/>
              <w:t>$</w:t>
            </w:r>
          </w:p>
        </w:tc>
      </w:tr>
      <w:tr w:rsidR="000F252A" w:rsidRPr="00362112" w14:paraId="7724AF64" w14:textId="77777777" w:rsidTr="00134384">
        <w:trPr>
          <w:jc w:val="center"/>
        </w:trPr>
        <w:tc>
          <w:tcPr>
            <w:tcW w:w="5326" w:type="dxa"/>
          </w:tcPr>
          <w:p w14:paraId="73E5DC54" w14:textId="77777777" w:rsidR="000F252A" w:rsidRPr="00E91B80" w:rsidRDefault="000F252A" w:rsidP="00E71696">
            <w:pPr>
              <w:rPr>
                <w:b/>
              </w:rPr>
            </w:pPr>
            <w:r w:rsidRPr="00E91B80">
              <w:rPr>
                <w:b/>
              </w:rPr>
              <w:t>Current</w:t>
            </w:r>
          </w:p>
        </w:tc>
        <w:tc>
          <w:tcPr>
            <w:tcW w:w="1588" w:type="dxa"/>
          </w:tcPr>
          <w:p w14:paraId="544277A1" w14:textId="77777777" w:rsidR="000F252A" w:rsidRPr="00522D47" w:rsidRDefault="000F252A" w:rsidP="00E71696"/>
        </w:tc>
        <w:tc>
          <w:tcPr>
            <w:tcW w:w="2318" w:type="dxa"/>
          </w:tcPr>
          <w:p w14:paraId="14F431BC" w14:textId="77777777" w:rsidR="000F252A" w:rsidRPr="00522D47" w:rsidRDefault="000F252A" w:rsidP="00E71696"/>
        </w:tc>
      </w:tr>
      <w:tr w:rsidR="00745DF0" w:rsidRPr="00362112" w14:paraId="08CCE228" w14:textId="77777777" w:rsidTr="00134384">
        <w:trPr>
          <w:jc w:val="center"/>
        </w:trPr>
        <w:tc>
          <w:tcPr>
            <w:tcW w:w="5326" w:type="dxa"/>
          </w:tcPr>
          <w:p w14:paraId="55699513" w14:textId="77777777" w:rsidR="00745DF0" w:rsidRPr="00522D47" w:rsidRDefault="00745DF0" w:rsidP="00E71696">
            <w:r w:rsidRPr="00522D47">
              <w:t>Financial assets at fair value through profit or loss</w:t>
            </w:r>
          </w:p>
        </w:tc>
        <w:tc>
          <w:tcPr>
            <w:tcW w:w="1588" w:type="dxa"/>
            <w:tcBorders>
              <w:bottom w:val="single" w:sz="4" w:space="0" w:color="auto"/>
            </w:tcBorders>
          </w:tcPr>
          <w:p w14:paraId="4E88DC95" w14:textId="77777777" w:rsidR="00745DF0" w:rsidRPr="00522D47" w:rsidRDefault="00672B43" w:rsidP="00E71696">
            <w:r>
              <w:t>3,690,706</w:t>
            </w:r>
          </w:p>
        </w:tc>
        <w:tc>
          <w:tcPr>
            <w:tcW w:w="2318" w:type="dxa"/>
            <w:tcBorders>
              <w:bottom w:val="single" w:sz="4" w:space="0" w:color="auto"/>
            </w:tcBorders>
          </w:tcPr>
          <w:p w14:paraId="7383226F" w14:textId="77777777" w:rsidR="00745DF0" w:rsidRPr="00522D47" w:rsidRDefault="00745DF0" w:rsidP="00E71696">
            <w:r w:rsidRPr="00522D47">
              <w:t>4,618,790</w:t>
            </w:r>
          </w:p>
        </w:tc>
      </w:tr>
      <w:tr w:rsidR="00745DF0" w:rsidRPr="00362112" w14:paraId="2BCCF83B" w14:textId="77777777" w:rsidTr="00134384">
        <w:trPr>
          <w:jc w:val="center"/>
        </w:trPr>
        <w:tc>
          <w:tcPr>
            <w:tcW w:w="5326" w:type="dxa"/>
          </w:tcPr>
          <w:p w14:paraId="370CC650" w14:textId="77777777" w:rsidR="00745DF0" w:rsidRPr="00E91B80" w:rsidRDefault="00745DF0" w:rsidP="00E71696">
            <w:pPr>
              <w:rPr>
                <w:b/>
              </w:rPr>
            </w:pPr>
            <w:r w:rsidRPr="00E91B80">
              <w:rPr>
                <w:b/>
              </w:rPr>
              <w:t>Total Financial Assets</w:t>
            </w:r>
          </w:p>
        </w:tc>
        <w:tc>
          <w:tcPr>
            <w:tcW w:w="1588" w:type="dxa"/>
            <w:tcBorders>
              <w:top w:val="single" w:sz="4" w:space="0" w:color="auto"/>
              <w:bottom w:val="double" w:sz="4" w:space="0" w:color="auto"/>
            </w:tcBorders>
          </w:tcPr>
          <w:p w14:paraId="0020C43B" w14:textId="77777777" w:rsidR="00745DF0" w:rsidRPr="00522D47" w:rsidRDefault="00672B43" w:rsidP="00E71696">
            <w:r>
              <w:t>3,690,706</w:t>
            </w:r>
          </w:p>
        </w:tc>
        <w:tc>
          <w:tcPr>
            <w:tcW w:w="2318" w:type="dxa"/>
            <w:tcBorders>
              <w:top w:val="single" w:sz="4" w:space="0" w:color="auto"/>
              <w:bottom w:val="double" w:sz="4" w:space="0" w:color="auto"/>
            </w:tcBorders>
          </w:tcPr>
          <w:p w14:paraId="0414C4C2" w14:textId="77777777" w:rsidR="00745DF0" w:rsidRPr="00522D47" w:rsidRDefault="00745DF0" w:rsidP="00E71696">
            <w:r w:rsidRPr="00522D47">
              <w:t>4,618,790</w:t>
            </w:r>
          </w:p>
        </w:tc>
      </w:tr>
    </w:tbl>
    <w:p w14:paraId="715BC8A8" w14:textId="77777777" w:rsidR="00CF248E" w:rsidRDefault="00CF248E" w:rsidP="00E71696">
      <w:r>
        <w:t>The fair value of listed available-for-sale investments has been determined directly by reference to published price quotations in an active market.</w:t>
      </w:r>
    </w:p>
    <w:p w14:paraId="692DCB27" w14:textId="77777777" w:rsidR="00D2400B" w:rsidRDefault="00D2400B" w:rsidP="00E71696">
      <w:r w:rsidRPr="00662339">
        <w:t>Had the company’s financial assets been measured on a historical cost basis, their carrying amount would have been as follows:</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urrent total financial assets"/>
      </w:tblPr>
      <w:tblGrid>
        <w:gridCol w:w="5353"/>
        <w:gridCol w:w="1675"/>
        <w:gridCol w:w="2152"/>
      </w:tblGrid>
      <w:tr w:rsidR="003A7164" w:rsidRPr="00522D47" w14:paraId="1E7BD9DC" w14:textId="77777777" w:rsidTr="000F252A">
        <w:trPr>
          <w:cnfStyle w:val="100000000000" w:firstRow="1" w:lastRow="0" w:firstColumn="0" w:lastColumn="0" w:oddVBand="0" w:evenVBand="0" w:oddHBand="0" w:evenHBand="0" w:firstRowFirstColumn="0" w:firstRowLastColumn="0" w:lastRowFirstColumn="0" w:lastRowLastColumn="0"/>
          <w:tblHeader/>
        </w:trPr>
        <w:tc>
          <w:tcPr>
            <w:tcW w:w="5353" w:type="dxa"/>
          </w:tcPr>
          <w:p w14:paraId="1CD791FA" w14:textId="77777777" w:rsidR="003A7164" w:rsidRPr="00522D47" w:rsidRDefault="001132C8" w:rsidP="00E71696">
            <w:pPr>
              <w:rPr>
                <w:sz w:val="24"/>
                <w:szCs w:val="24"/>
              </w:rPr>
            </w:pPr>
            <w:r>
              <w:br/>
            </w:r>
            <w:r w:rsidR="003A7164" w:rsidRPr="00522D47">
              <w:t>Current</w:t>
            </w:r>
          </w:p>
        </w:tc>
        <w:tc>
          <w:tcPr>
            <w:tcW w:w="1675" w:type="dxa"/>
          </w:tcPr>
          <w:p w14:paraId="1507F27F" w14:textId="77777777" w:rsidR="003A7164" w:rsidRPr="00522D47" w:rsidRDefault="00EF1D9F" w:rsidP="00E71696">
            <w:r>
              <w:t>2016</w:t>
            </w:r>
            <w:r w:rsidR="003A7164" w:rsidRPr="00522D47">
              <w:br/>
              <w:t>$</w:t>
            </w:r>
          </w:p>
        </w:tc>
        <w:tc>
          <w:tcPr>
            <w:tcW w:w="2152" w:type="dxa"/>
          </w:tcPr>
          <w:p w14:paraId="6CEEC155" w14:textId="77777777" w:rsidR="003A7164" w:rsidRPr="00522D47" w:rsidRDefault="00EF1D9F" w:rsidP="00E71696">
            <w:r>
              <w:t>2015</w:t>
            </w:r>
            <w:r w:rsidR="003A7164" w:rsidRPr="00522D47">
              <w:br/>
              <w:t>$</w:t>
            </w:r>
          </w:p>
        </w:tc>
      </w:tr>
      <w:tr w:rsidR="00745DF0" w:rsidRPr="00522D47" w14:paraId="096D46BD" w14:textId="77777777" w:rsidTr="000F252A">
        <w:tc>
          <w:tcPr>
            <w:tcW w:w="5353" w:type="dxa"/>
          </w:tcPr>
          <w:p w14:paraId="106189B1" w14:textId="77777777" w:rsidR="00745DF0" w:rsidRPr="00522D47" w:rsidRDefault="00745DF0" w:rsidP="00E71696">
            <w:pPr>
              <w:rPr>
                <w:sz w:val="24"/>
                <w:szCs w:val="24"/>
              </w:rPr>
            </w:pPr>
            <w:r w:rsidRPr="00522D47">
              <w:t>Financial assets at cost value through profit or loss</w:t>
            </w:r>
          </w:p>
        </w:tc>
        <w:tc>
          <w:tcPr>
            <w:tcW w:w="1675" w:type="dxa"/>
            <w:tcBorders>
              <w:bottom w:val="single" w:sz="4" w:space="0" w:color="auto"/>
            </w:tcBorders>
          </w:tcPr>
          <w:p w14:paraId="08EC0AB2" w14:textId="77777777" w:rsidR="00745DF0" w:rsidRPr="00522D47" w:rsidRDefault="00672B43" w:rsidP="00E71696">
            <w:r>
              <w:t>3,661,477</w:t>
            </w:r>
          </w:p>
        </w:tc>
        <w:tc>
          <w:tcPr>
            <w:tcW w:w="2152" w:type="dxa"/>
            <w:tcBorders>
              <w:bottom w:val="single" w:sz="4" w:space="0" w:color="auto"/>
            </w:tcBorders>
          </w:tcPr>
          <w:p w14:paraId="6262F566" w14:textId="77777777" w:rsidR="00745DF0" w:rsidRPr="00522D47" w:rsidRDefault="00745DF0" w:rsidP="00E71696">
            <w:r w:rsidRPr="00522D47">
              <w:t>4,456,080</w:t>
            </w:r>
          </w:p>
        </w:tc>
      </w:tr>
      <w:tr w:rsidR="00745DF0" w14:paraId="2D26F23D" w14:textId="77777777" w:rsidTr="000F252A">
        <w:tc>
          <w:tcPr>
            <w:tcW w:w="5353" w:type="dxa"/>
          </w:tcPr>
          <w:p w14:paraId="403F7DBA" w14:textId="77777777" w:rsidR="00745DF0" w:rsidRPr="00E91B80" w:rsidRDefault="00745DF0" w:rsidP="00E71696">
            <w:pPr>
              <w:rPr>
                <w:b/>
                <w:sz w:val="24"/>
                <w:szCs w:val="24"/>
              </w:rPr>
            </w:pPr>
            <w:r w:rsidRPr="00E91B80">
              <w:rPr>
                <w:b/>
              </w:rPr>
              <w:t>Total Financial Assets</w:t>
            </w:r>
          </w:p>
        </w:tc>
        <w:tc>
          <w:tcPr>
            <w:tcW w:w="1675" w:type="dxa"/>
            <w:tcBorders>
              <w:top w:val="single" w:sz="4" w:space="0" w:color="auto"/>
              <w:bottom w:val="double" w:sz="4" w:space="0" w:color="auto"/>
            </w:tcBorders>
          </w:tcPr>
          <w:p w14:paraId="5EC723D5" w14:textId="77777777" w:rsidR="00745DF0" w:rsidRPr="00522D47" w:rsidRDefault="00672B43" w:rsidP="00E71696">
            <w:r>
              <w:t>3,661,477</w:t>
            </w:r>
          </w:p>
        </w:tc>
        <w:tc>
          <w:tcPr>
            <w:tcW w:w="2152" w:type="dxa"/>
            <w:tcBorders>
              <w:top w:val="single" w:sz="4" w:space="0" w:color="auto"/>
              <w:bottom w:val="double" w:sz="4" w:space="0" w:color="auto"/>
            </w:tcBorders>
          </w:tcPr>
          <w:p w14:paraId="18B6855D" w14:textId="77777777" w:rsidR="00745DF0" w:rsidRPr="00522D47" w:rsidRDefault="00745DF0" w:rsidP="00E71696">
            <w:r w:rsidRPr="00522D47">
              <w:t>4,456,080</w:t>
            </w:r>
          </w:p>
        </w:tc>
      </w:tr>
    </w:tbl>
    <w:p w14:paraId="4A27E381" w14:textId="77777777" w:rsidR="00D2400B" w:rsidRPr="00E91B80" w:rsidRDefault="00781726" w:rsidP="00E91B80">
      <w:pPr>
        <w:pStyle w:val="ListParagraph"/>
        <w:numPr>
          <w:ilvl w:val="2"/>
          <w:numId w:val="36"/>
        </w:numPr>
        <w:ind w:left="851" w:hanging="284"/>
        <w:rPr>
          <w:b/>
          <w:i/>
        </w:rPr>
      </w:pPr>
      <w:r w:rsidRPr="00E91B80">
        <w:rPr>
          <w:b/>
          <w:i/>
        </w:rPr>
        <w:t>Hel</w:t>
      </w:r>
      <w:r w:rsidR="00D2400B" w:rsidRPr="00E91B80">
        <w:rPr>
          <w:b/>
          <w:i/>
        </w:rPr>
        <w:t>d-for-trading investments</w:t>
      </w:r>
    </w:p>
    <w:p w14:paraId="774FA16E" w14:textId="77777777" w:rsidR="00D2400B" w:rsidRDefault="00D2400B" w:rsidP="00E91B80">
      <w:pPr>
        <w:ind w:left="851"/>
      </w:pPr>
      <w:r w:rsidRPr="00662339">
        <w:t>Securities in listed corporations, unit trusts and other publicly available investments funds held for trading purpose to generate income through the receipts of dividends and capital gains.</w:t>
      </w:r>
    </w:p>
    <w:p w14:paraId="0EBFC351" w14:textId="77777777" w:rsidR="00603B49" w:rsidRDefault="00603B49" w:rsidP="00E91B80">
      <w:pPr>
        <w:jc w:val="center"/>
        <w:rPr>
          <w:i/>
        </w:rPr>
      </w:pPr>
    </w:p>
    <w:p w14:paraId="44F0E36F" w14:textId="77777777" w:rsidR="006D2D33" w:rsidRPr="00E91B80" w:rsidRDefault="006D2D33" w:rsidP="00E91B80">
      <w:pPr>
        <w:jc w:val="center"/>
        <w:rPr>
          <w:i/>
        </w:rPr>
      </w:pPr>
      <w:r w:rsidRPr="00E91B80">
        <w:rPr>
          <w:i/>
        </w:rPr>
        <w:t>These notes form part of the financial statements</w:t>
      </w:r>
      <w:r w:rsidRPr="00E91B80">
        <w:rPr>
          <w:i/>
        </w:rPr>
        <w:br w:type="page"/>
      </w:r>
    </w:p>
    <w:p w14:paraId="2B911C6E" w14:textId="13FDA42B" w:rsidR="006D2D33" w:rsidRPr="006D2D33" w:rsidRDefault="006D2D33" w:rsidP="00E71696">
      <w:pPr>
        <w:rPr>
          <w:sz w:val="24"/>
          <w:szCs w:val="24"/>
        </w:rPr>
      </w:pPr>
    </w:p>
    <w:tbl>
      <w:tblPr>
        <w:tblStyle w:val="TableGrid"/>
        <w:tblpPr w:leftFromText="180" w:rightFromText="180" w:vertAnchor="text" w:horzAnchor="margin" w:tblpXSpec="center" w:tblpY="328"/>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property, plant &amp; equipment"/>
      </w:tblPr>
      <w:tblGrid>
        <w:gridCol w:w="5950"/>
        <w:gridCol w:w="1670"/>
        <w:gridCol w:w="1565"/>
      </w:tblGrid>
      <w:tr w:rsidR="00A32AC0" w14:paraId="7789D333" w14:textId="77777777" w:rsidTr="00515B5E">
        <w:trPr>
          <w:cnfStyle w:val="100000000000" w:firstRow="1" w:lastRow="0" w:firstColumn="0" w:lastColumn="0" w:oddVBand="0" w:evenVBand="0" w:oddHBand="0" w:evenHBand="0" w:firstRowFirstColumn="0" w:firstRowLastColumn="0" w:lastRowFirstColumn="0" w:lastRowLastColumn="0"/>
          <w:tblHeader/>
        </w:trPr>
        <w:tc>
          <w:tcPr>
            <w:tcW w:w="5950" w:type="dxa"/>
            <w:shd w:val="clear" w:color="auto" w:fill="auto"/>
          </w:tcPr>
          <w:p w14:paraId="78FC7881" w14:textId="77777777" w:rsidR="00A32AC0" w:rsidRPr="00522D47" w:rsidRDefault="00A32AC0" w:rsidP="005132DB">
            <w:pPr>
              <w:pStyle w:val="Heading2"/>
              <w:outlineLvl w:val="1"/>
            </w:pPr>
            <w:r w:rsidRPr="00522D47">
              <w:t>9.</w:t>
            </w:r>
            <w:r w:rsidR="000B4B10" w:rsidRPr="00522D47">
              <w:t xml:space="preserve"> </w:t>
            </w:r>
            <w:r w:rsidRPr="00522D47">
              <w:t>Property, Plant &amp; Equipment</w:t>
            </w:r>
          </w:p>
        </w:tc>
        <w:tc>
          <w:tcPr>
            <w:tcW w:w="1670" w:type="dxa"/>
            <w:shd w:val="clear" w:color="auto" w:fill="auto"/>
          </w:tcPr>
          <w:p w14:paraId="08A7F72F" w14:textId="77777777" w:rsidR="00A32AC0" w:rsidRPr="00522D47" w:rsidRDefault="00EF1D9F" w:rsidP="00E71696">
            <w:r>
              <w:t>2016</w:t>
            </w:r>
            <w:r w:rsidR="00A32AC0" w:rsidRPr="00522D47">
              <w:br/>
              <w:t>$</w:t>
            </w:r>
          </w:p>
        </w:tc>
        <w:tc>
          <w:tcPr>
            <w:tcW w:w="1565" w:type="dxa"/>
            <w:shd w:val="clear" w:color="auto" w:fill="auto"/>
          </w:tcPr>
          <w:p w14:paraId="2EC2858A" w14:textId="77777777" w:rsidR="00A32AC0" w:rsidRPr="00522D47" w:rsidRDefault="00EF1D9F" w:rsidP="00E71696">
            <w:r>
              <w:t>2015</w:t>
            </w:r>
            <w:r w:rsidR="00A32AC0" w:rsidRPr="00522D47">
              <w:br/>
              <w:t>$</w:t>
            </w:r>
          </w:p>
        </w:tc>
      </w:tr>
      <w:tr w:rsidR="00CE367A" w:rsidRPr="00733129" w14:paraId="11B32356" w14:textId="77777777" w:rsidTr="00515B5E">
        <w:tc>
          <w:tcPr>
            <w:tcW w:w="5950" w:type="dxa"/>
            <w:shd w:val="clear" w:color="auto" w:fill="auto"/>
          </w:tcPr>
          <w:p w14:paraId="7D784415" w14:textId="77777777" w:rsidR="00CE367A" w:rsidRPr="00522D47" w:rsidRDefault="00CE367A" w:rsidP="00E71696">
            <w:r w:rsidRPr="00522D47">
              <w:t>Motor Vehicles</w:t>
            </w:r>
          </w:p>
        </w:tc>
        <w:tc>
          <w:tcPr>
            <w:tcW w:w="1670" w:type="dxa"/>
            <w:shd w:val="clear" w:color="auto" w:fill="auto"/>
          </w:tcPr>
          <w:p w14:paraId="09D8E3E0" w14:textId="77777777" w:rsidR="00CE367A" w:rsidRPr="00522D47" w:rsidRDefault="00CE367A" w:rsidP="00E71696">
            <w:r w:rsidRPr="00522D47">
              <w:t>-</w:t>
            </w:r>
          </w:p>
        </w:tc>
        <w:tc>
          <w:tcPr>
            <w:tcW w:w="1565" w:type="dxa"/>
            <w:shd w:val="clear" w:color="auto" w:fill="auto"/>
          </w:tcPr>
          <w:p w14:paraId="60AAC0CB" w14:textId="77777777" w:rsidR="00CE367A" w:rsidRPr="00522D47" w:rsidRDefault="00CE367A" w:rsidP="00E71696">
            <w:r w:rsidRPr="00522D47">
              <w:t>-</w:t>
            </w:r>
          </w:p>
        </w:tc>
      </w:tr>
      <w:tr w:rsidR="00CE367A" w:rsidRPr="00733129" w14:paraId="6FE935A6" w14:textId="77777777" w:rsidTr="00515B5E">
        <w:tc>
          <w:tcPr>
            <w:tcW w:w="5950" w:type="dxa"/>
            <w:shd w:val="clear" w:color="auto" w:fill="auto"/>
          </w:tcPr>
          <w:p w14:paraId="205F49D3" w14:textId="77777777" w:rsidR="00CE367A" w:rsidRPr="00522D47" w:rsidRDefault="00CE367A" w:rsidP="00E71696">
            <w:r w:rsidRPr="00522D47">
              <w:t>Less Accumulated Depreciation &amp; Impairment</w:t>
            </w:r>
          </w:p>
        </w:tc>
        <w:tc>
          <w:tcPr>
            <w:tcW w:w="1670" w:type="dxa"/>
            <w:tcBorders>
              <w:bottom w:val="single" w:sz="4" w:space="0" w:color="auto"/>
            </w:tcBorders>
            <w:shd w:val="clear" w:color="auto" w:fill="auto"/>
          </w:tcPr>
          <w:p w14:paraId="029FE43F" w14:textId="77777777" w:rsidR="00CE367A" w:rsidRPr="00522D47" w:rsidRDefault="00CE367A" w:rsidP="00E71696">
            <w:r w:rsidRPr="00522D47">
              <w:t>-</w:t>
            </w:r>
          </w:p>
        </w:tc>
        <w:tc>
          <w:tcPr>
            <w:tcW w:w="1565" w:type="dxa"/>
            <w:tcBorders>
              <w:bottom w:val="single" w:sz="4" w:space="0" w:color="auto"/>
            </w:tcBorders>
            <w:shd w:val="clear" w:color="auto" w:fill="auto"/>
          </w:tcPr>
          <w:p w14:paraId="4B03E807" w14:textId="77777777" w:rsidR="00CE367A" w:rsidRPr="00522D47" w:rsidRDefault="00CE367A" w:rsidP="00E71696">
            <w:r w:rsidRPr="00522D47">
              <w:t>-</w:t>
            </w:r>
          </w:p>
        </w:tc>
      </w:tr>
      <w:tr w:rsidR="00CE367A" w:rsidRPr="00733129" w14:paraId="509F3787" w14:textId="77777777" w:rsidTr="00515B5E">
        <w:trPr>
          <w:trHeight w:val="75"/>
        </w:trPr>
        <w:tc>
          <w:tcPr>
            <w:tcW w:w="5950" w:type="dxa"/>
            <w:shd w:val="clear" w:color="auto" w:fill="auto"/>
          </w:tcPr>
          <w:p w14:paraId="60BC21BB" w14:textId="77777777" w:rsidR="00CE367A" w:rsidRPr="00522D47" w:rsidRDefault="00CE367A" w:rsidP="00E71696"/>
        </w:tc>
        <w:tc>
          <w:tcPr>
            <w:tcW w:w="1670" w:type="dxa"/>
            <w:tcBorders>
              <w:top w:val="single" w:sz="4" w:space="0" w:color="auto"/>
            </w:tcBorders>
            <w:shd w:val="clear" w:color="auto" w:fill="auto"/>
          </w:tcPr>
          <w:p w14:paraId="2C66E9A9" w14:textId="77777777" w:rsidR="00CE367A" w:rsidRPr="00522D47" w:rsidRDefault="00CE367A" w:rsidP="00E71696">
            <w:r w:rsidRPr="00522D47">
              <w:t>-</w:t>
            </w:r>
          </w:p>
        </w:tc>
        <w:tc>
          <w:tcPr>
            <w:tcW w:w="1565" w:type="dxa"/>
            <w:tcBorders>
              <w:top w:val="single" w:sz="4" w:space="0" w:color="auto"/>
            </w:tcBorders>
            <w:shd w:val="clear" w:color="auto" w:fill="auto"/>
          </w:tcPr>
          <w:p w14:paraId="031ED35D" w14:textId="77777777" w:rsidR="00CE367A" w:rsidRPr="00522D47" w:rsidRDefault="00CE367A" w:rsidP="00E71696">
            <w:r w:rsidRPr="00522D47">
              <w:t>-</w:t>
            </w:r>
          </w:p>
        </w:tc>
      </w:tr>
      <w:tr w:rsidR="00745DF0" w:rsidRPr="007A1B78" w14:paraId="007F8E96" w14:textId="77777777" w:rsidTr="00515B5E">
        <w:tc>
          <w:tcPr>
            <w:tcW w:w="5950" w:type="dxa"/>
            <w:shd w:val="clear" w:color="auto" w:fill="auto"/>
          </w:tcPr>
          <w:p w14:paraId="07221E59" w14:textId="77777777" w:rsidR="00745DF0" w:rsidRPr="00522D47" w:rsidRDefault="00745DF0" w:rsidP="00E71696">
            <w:pPr>
              <w:rPr>
                <w:sz w:val="24"/>
                <w:szCs w:val="24"/>
              </w:rPr>
            </w:pPr>
            <w:r w:rsidRPr="00522D47">
              <w:t>Office Furniture &amp; Equipment</w:t>
            </w:r>
          </w:p>
        </w:tc>
        <w:tc>
          <w:tcPr>
            <w:tcW w:w="1670" w:type="dxa"/>
            <w:shd w:val="clear" w:color="auto" w:fill="auto"/>
          </w:tcPr>
          <w:p w14:paraId="42F300D1" w14:textId="77777777" w:rsidR="00745DF0" w:rsidRPr="00522D47" w:rsidRDefault="00672B43" w:rsidP="00E71696">
            <w:r>
              <w:t>146,162</w:t>
            </w:r>
          </w:p>
        </w:tc>
        <w:tc>
          <w:tcPr>
            <w:tcW w:w="1565" w:type="dxa"/>
            <w:shd w:val="clear" w:color="auto" w:fill="auto"/>
          </w:tcPr>
          <w:p w14:paraId="7F732C83" w14:textId="77777777" w:rsidR="00745DF0" w:rsidRPr="00522D47" w:rsidRDefault="00745DF0" w:rsidP="00E71696">
            <w:r w:rsidRPr="00522D47">
              <w:t>143,772</w:t>
            </w:r>
          </w:p>
        </w:tc>
      </w:tr>
      <w:tr w:rsidR="00745DF0" w:rsidRPr="007A1B78" w14:paraId="480DD2BC" w14:textId="77777777" w:rsidTr="00515B5E">
        <w:tc>
          <w:tcPr>
            <w:tcW w:w="5950" w:type="dxa"/>
            <w:shd w:val="clear" w:color="auto" w:fill="auto"/>
          </w:tcPr>
          <w:p w14:paraId="388DC0AC" w14:textId="77777777" w:rsidR="00745DF0" w:rsidRPr="00522D47" w:rsidRDefault="00745DF0" w:rsidP="00E71696">
            <w:pPr>
              <w:rPr>
                <w:sz w:val="24"/>
                <w:szCs w:val="24"/>
              </w:rPr>
            </w:pPr>
            <w:r w:rsidRPr="00522D47">
              <w:t>Less Accumulated Depreciation &amp; Impairment</w:t>
            </w:r>
          </w:p>
        </w:tc>
        <w:tc>
          <w:tcPr>
            <w:tcW w:w="1670" w:type="dxa"/>
            <w:tcBorders>
              <w:bottom w:val="single" w:sz="4" w:space="0" w:color="auto"/>
            </w:tcBorders>
            <w:shd w:val="clear" w:color="auto" w:fill="auto"/>
          </w:tcPr>
          <w:p w14:paraId="31255875" w14:textId="77777777" w:rsidR="00745DF0" w:rsidRPr="00522D47" w:rsidRDefault="00672B43" w:rsidP="00E71696">
            <w:r>
              <w:t>(138,083)</w:t>
            </w:r>
          </w:p>
        </w:tc>
        <w:tc>
          <w:tcPr>
            <w:tcW w:w="1565" w:type="dxa"/>
            <w:tcBorders>
              <w:bottom w:val="single" w:sz="4" w:space="0" w:color="auto"/>
            </w:tcBorders>
            <w:shd w:val="clear" w:color="auto" w:fill="auto"/>
          </w:tcPr>
          <w:p w14:paraId="00BF5ADF" w14:textId="77777777" w:rsidR="00745DF0" w:rsidRPr="00522D47" w:rsidRDefault="00745DF0" w:rsidP="00E71696">
            <w:r w:rsidRPr="00522D47">
              <w:t>(131,062)</w:t>
            </w:r>
          </w:p>
        </w:tc>
      </w:tr>
      <w:tr w:rsidR="00745DF0" w:rsidRPr="007A1B78" w14:paraId="378C5617" w14:textId="77777777" w:rsidTr="00515B5E">
        <w:tc>
          <w:tcPr>
            <w:tcW w:w="5950" w:type="dxa"/>
            <w:shd w:val="clear" w:color="auto" w:fill="auto"/>
          </w:tcPr>
          <w:p w14:paraId="555A5934" w14:textId="77777777" w:rsidR="00745DF0" w:rsidRPr="00522D47" w:rsidRDefault="00745DF0" w:rsidP="00E71696"/>
        </w:tc>
        <w:tc>
          <w:tcPr>
            <w:tcW w:w="1670" w:type="dxa"/>
            <w:tcBorders>
              <w:top w:val="single" w:sz="4" w:space="0" w:color="auto"/>
            </w:tcBorders>
            <w:shd w:val="clear" w:color="auto" w:fill="auto"/>
          </w:tcPr>
          <w:p w14:paraId="061CFC35" w14:textId="77777777" w:rsidR="00745DF0" w:rsidRPr="00522D47" w:rsidRDefault="00672B43" w:rsidP="00E71696">
            <w:r>
              <w:t>8,079</w:t>
            </w:r>
          </w:p>
        </w:tc>
        <w:tc>
          <w:tcPr>
            <w:tcW w:w="1565" w:type="dxa"/>
            <w:tcBorders>
              <w:top w:val="single" w:sz="4" w:space="0" w:color="auto"/>
            </w:tcBorders>
            <w:shd w:val="clear" w:color="auto" w:fill="auto"/>
          </w:tcPr>
          <w:p w14:paraId="21042857" w14:textId="77777777" w:rsidR="00745DF0" w:rsidRPr="00522D47" w:rsidRDefault="00745DF0" w:rsidP="00E71696">
            <w:r w:rsidRPr="00522D47">
              <w:t>12,710</w:t>
            </w:r>
          </w:p>
        </w:tc>
      </w:tr>
      <w:tr w:rsidR="00745DF0" w:rsidRPr="007A1B78" w14:paraId="6F63209A" w14:textId="77777777" w:rsidTr="00515B5E">
        <w:tc>
          <w:tcPr>
            <w:tcW w:w="5950" w:type="dxa"/>
            <w:shd w:val="clear" w:color="auto" w:fill="auto"/>
          </w:tcPr>
          <w:p w14:paraId="1DCF8AF2" w14:textId="77777777" w:rsidR="00745DF0" w:rsidRPr="00522D47" w:rsidRDefault="00745DF0" w:rsidP="00E71696">
            <w:pPr>
              <w:rPr>
                <w:sz w:val="24"/>
                <w:szCs w:val="24"/>
              </w:rPr>
            </w:pPr>
            <w:r w:rsidRPr="00522D47">
              <w:t>Furniture &amp; Fittings</w:t>
            </w:r>
          </w:p>
        </w:tc>
        <w:tc>
          <w:tcPr>
            <w:tcW w:w="1670" w:type="dxa"/>
            <w:shd w:val="clear" w:color="auto" w:fill="auto"/>
          </w:tcPr>
          <w:p w14:paraId="3E12308B" w14:textId="77777777" w:rsidR="00745DF0" w:rsidRPr="00522D47" w:rsidRDefault="00672B43" w:rsidP="00E71696">
            <w:r>
              <w:t>56,495</w:t>
            </w:r>
          </w:p>
        </w:tc>
        <w:tc>
          <w:tcPr>
            <w:tcW w:w="1565" w:type="dxa"/>
            <w:shd w:val="clear" w:color="auto" w:fill="auto"/>
          </w:tcPr>
          <w:p w14:paraId="5ADD1B09" w14:textId="77777777" w:rsidR="00745DF0" w:rsidRPr="00522D47" w:rsidRDefault="00745DF0" w:rsidP="00E71696">
            <w:r w:rsidRPr="00522D47">
              <w:t>56,495</w:t>
            </w:r>
          </w:p>
        </w:tc>
      </w:tr>
      <w:tr w:rsidR="00745DF0" w:rsidRPr="007A1B78" w14:paraId="4F7F1CA1" w14:textId="77777777" w:rsidTr="00515B5E">
        <w:tc>
          <w:tcPr>
            <w:tcW w:w="5950" w:type="dxa"/>
            <w:shd w:val="clear" w:color="auto" w:fill="auto"/>
          </w:tcPr>
          <w:p w14:paraId="48E6A935" w14:textId="77777777" w:rsidR="00745DF0" w:rsidRPr="00522D47" w:rsidRDefault="00745DF0" w:rsidP="00E71696">
            <w:pPr>
              <w:rPr>
                <w:sz w:val="24"/>
                <w:szCs w:val="24"/>
              </w:rPr>
            </w:pPr>
            <w:r w:rsidRPr="00522D47">
              <w:t>Less Accumulated Depreciation &amp; Impairment</w:t>
            </w:r>
          </w:p>
        </w:tc>
        <w:tc>
          <w:tcPr>
            <w:tcW w:w="1670" w:type="dxa"/>
            <w:tcBorders>
              <w:bottom w:val="single" w:sz="4" w:space="0" w:color="auto"/>
            </w:tcBorders>
            <w:shd w:val="clear" w:color="auto" w:fill="auto"/>
          </w:tcPr>
          <w:p w14:paraId="53F63A6F" w14:textId="77777777" w:rsidR="00745DF0" w:rsidRPr="00522D47" w:rsidRDefault="00672B43" w:rsidP="00E71696">
            <w:r>
              <w:t>(54,267)</w:t>
            </w:r>
          </w:p>
        </w:tc>
        <w:tc>
          <w:tcPr>
            <w:tcW w:w="1565" w:type="dxa"/>
            <w:tcBorders>
              <w:bottom w:val="single" w:sz="4" w:space="0" w:color="auto"/>
            </w:tcBorders>
            <w:shd w:val="clear" w:color="auto" w:fill="auto"/>
          </w:tcPr>
          <w:p w14:paraId="282C888C" w14:textId="77777777" w:rsidR="00745DF0" w:rsidRPr="00522D47" w:rsidRDefault="00745DF0" w:rsidP="00E71696">
            <w:r w:rsidRPr="00522D47">
              <w:t>(50,983)</w:t>
            </w:r>
          </w:p>
        </w:tc>
      </w:tr>
      <w:tr w:rsidR="00745DF0" w:rsidRPr="007A1B78" w14:paraId="5B98CFE7" w14:textId="77777777" w:rsidTr="00515B5E">
        <w:tc>
          <w:tcPr>
            <w:tcW w:w="5950" w:type="dxa"/>
            <w:shd w:val="clear" w:color="auto" w:fill="auto"/>
          </w:tcPr>
          <w:p w14:paraId="5A7A280D" w14:textId="77777777" w:rsidR="00745DF0" w:rsidRPr="00522D47" w:rsidRDefault="00745DF0" w:rsidP="00E71696"/>
        </w:tc>
        <w:tc>
          <w:tcPr>
            <w:tcW w:w="1670" w:type="dxa"/>
            <w:tcBorders>
              <w:top w:val="single" w:sz="4" w:space="0" w:color="auto"/>
            </w:tcBorders>
            <w:shd w:val="clear" w:color="auto" w:fill="auto"/>
          </w:tcPr>
          <w:p w14:paraId="1B5F5337" w14:textId="77777777" w:rsidR="00745DF0" w:rsidRPr="00522D47" w:rsidRDefault="00672B43" w:rsidP="00E71696">
            <w:r>
              <w:t>2,228</w:t>
            </w:r>
          </w:p>
        </w:tc>
        <w:tc>
          <w:tcPr>
            <w:tcW w:w="1565" w:type="dxa"/>
            <w:tcBorders>
              <w:top w:val="single" w:sz="4" w:space="0" w:color="auto"/>
            </w:tcBorders>
            <w:shd w:val="clear" w:color="auto" w:fill="auto"/>
          </w:tcPr>
          <w:p w14:paraId="33082C50" w14:textId="77777777" w:rsidR="00745DF0" w:rsidRPr="00522D47" w:rsidRDefault="00745DF0" w:rsidP="00E71696">
            <w:r w:rsidRPr="00522D47">
              <w:t>5,513</w:t>
            </w:r>
          </w:p>
        </w:tc>
      </w:tr>
      <w:tr w:rsidR="00745DF0" w:rsidRPr="007A1B78" w14:paraId="5431C787" w14:textId="77777777" w:rsidTr="00515B5E">
        <w:tc>
          <w:tcPr>
            <w:tcW w:w="5950" w:type="dxa"/>
            <w:shd w:val="clear" w:color="auto" w:fill="auto"/>
          </w:tcPr>
          <w:p w14:paraId="106CBEC4" w14:textId="77777777" w:rsidR="00745DF0" w:rsidRPr="00522D47" w:rsidRDefault="00745DF0" w:rsidP="00E71696">
            <w:pPr>
              <w:rPr>
                <w:sz w:val="24"/>
                <w:szCs w:val="24"/>
              </w:rPr>
            </w:pPr>
            <w:r w:rsidRPr="00522D47">
              <w:t>Software</w:t>
            </w:r>
          </w:p>
        </w:tc>
        <w:tc>
          <w:tcPr>
            <w:tcW w:w="1670" w:type="dxa"/>
            <w:shd w:val="clear" w:color="auto" w:fill="auto"/>
          </w:tcPr>
          <w:p w14:paraId="36DF239F" w14:textId="77777777" w:rsidR="00745DF0" w:rsidRPr="00522D47" w:rsidRDefault="00672B43" w:rsidP="00E71696">
            <w:r>
              <w:t>321,106</w:t>
            </w:r>
          </w:p>
        </w:tc>
        <w:tc>
          <w:tcPr>
            <w:tcW w:w="1565" w:type="dxa"/>
            <w:shd w:val="clear" w:color="auto" w:fill="auto"/>
          </w:tcPr>
          <w:p w14:paraId="29664A01" w14:textId="77777777" w:rsidR="00745DF0" w:rsidRPr="00522D47" w:rsidRDefault="00745DF0" w:rsidP="00E71696">
            <w:r w:rsidRPr="00522D47">
              <w:t>321,106</w:t>
            </w:r>
          </w:p>
        </w:tc>
      </w:tr>
      <w:tr w:rsidR="00745DF0" w:rsidRPr="007A1B78" w14:paraId="77E567C9" w14:textId="77777777" w:rsidTr="00515B5E">
        <w:tc>
          <w:tcPr>
            <w:tcW w:w="5950" w:type="dxa"/>
            <w:shd w:val="clear" w:color="auto" w:fill="auto"/>
          </w:tcPr>
          <w:p w14:paraId="14C0649B" w14:textId="77777777" w:rsidR="00745DF0" w:rsidRPr="00522D47" w:rsidRDefault="00745DF0" w:rsidP="00E71696">
            <w:pPr>
              <w:rPr>
                <w:sz w:val="24"/>
                <w:szCs w:val="24"/>
              </w:rPr>
            </w:pPr>
            <w:r w:rsidRPr="00522D47">
              <w:t>Less Accumulated Depreciation &amp; Impairment</w:t>
            </w:r>
          </w:p>
        </w:tc>
        <w:tc>
          <w:tcPr>
            <w:tcW w:w="1670" w:type="dxa"/>
            <w:tcBorders>
              <w:bottom w:val="single" w:sz="4" w:space="0" w:color="auto"/>
            </w:tcBorders>
            <w:shd w:val="clear" w:color="auto" w:fill="auto"/>
          </w:tcPr>
          <w:p w14:paraId="33E04AA0" w14:textId="77777777" w:rsidR="00745DF0" w:rsidRPr="00522D47" w:rsidRDefault="00672B43" w:rsidP="00E71696">
            <w:r>
              <w:t>(321,106)</w:t>
            </w:r>
          </w:p>
        </w:tc>
        <w:tc>
          <w:tcPr>
            <w:tcW w:w="1565" w:type="dxa"/>
            <w:tcBorders>
              <w:bottom w:val="single" w:sz="4" w:space="0" w:color="auto"/>
            </w:tcBorders>
            <w:shd w:val="clear" w:color="auto" w:fill="auto"/>
          </w:tcPr>
          <w:p w14:paraId="3E9BBE6E" w14:textId="77777777" w:rsidR="00745DF0" w:rsidRPr="00522D47" w:rsidRDefault="00745DF0" w:rsidP="00E71696">
            <w:r w:rsidRPr="00522D47">
              <w:t>(315,160)</w:t>
            </w:r>
          </w:p>
        </w:tc>
      </w:tr>
      <w:tr w:rsidR="00745DF0" w:rsidRPr="007A1B78" w14:paraId="63B72AE1" w14:textId="77777777" w:rsidTr="00832B35">
        <w:tc>
          <w:tcPr>
            <w:tcW w:w="5950" w:type="dxa"/>
            <w:shd w:val="clear" w:color="auto" w:fill="auto"/>
          </w:tcPr>
          <w:p w14:paraId="36CB8474" w14:textId="77777777" w:rsidR="00745DF0" w:rsidRPr="00522D47" w:rsidRDefault="00745DF0" w:rsidP="00E71696"/>
        </w:tc>
        <w:tc>
          <w:tcPr>
            <w:tcW w:w="1670" w:type="dxa"/>
            <w:tcBorders>
              <w:top w:val="single" w:sz="4" w:space="0" w:color="auto"/>
              <w:bottom w:val="single" w:sz="4" w:space="0" w:color="auto"/>
            </w:tcBorders>
            <w:shd w:val="clear" w:color="auto" w:fill="auto"/>
          </w:tcPr>
          <w:p w14:paraId="38A5287D" w14:textId="77777777" w:rsidR="00745DF0" w:rsidRPr="00522D47" w:rsidRDefault="00672B43" w:rsidP="00E71696">
            <w:r>
              <w:t>-</w:t>
            </w:r>
          </w:p>
        </w:tc>
        <w:tc>
          <w:tcPr>
            <w:tcW w:w="1565" w:type="dxa"/>
            <w:tcBorders>
              <w:top w:val="single" w:sz="4" w:space="0" w:color="auto"/>
              <w:bottom w:val="single" w:sz="4" w:space="0" w:color="auto"/>
            </w:tcBorders>
            <w:shd w:val="clear" w:color="auto" w:fill="auto"/>
          </w:tcPr>
          <w:p w14:paraId="330F0ECA" w14:textId="77777777" w:rsidR="00745DF0" w:rsidRPr="00522D47" w:rsidRDefault="00745DF0" w:rsidP="00E71696">
            <w:r w:rsidRPr="00522D47">
              <w:t>5,947</w:t>
            </w:r>
          </w:p>
        </w:tc>
      </w:tr>
      <w:tr w:rsidR="00745DF0" w:rsidRPr="007A1B78" w14:paraId="483C9850" w14:textId="77777777" w:rsidTr="00832B35">
        <w:tc>
          <w:tcPr>
            <w:tcW w:w="5950" w:type="dxa"/>
            <w:shd w:val="clear" w:color="auto" w:fill="auto"/>
          </w:tcPr>
          <w:p w14:paraId="04F4EF3B" w14:textId="77777777" w:rsidR="00745DF0" w:rsidRPr="00E91B80" w:rsidRDefault="00745DF0" w:rsidP="00E71696">
            <w:pPr>
              <w:rPr>
                <w:b/>
                <w:sz w:val="24"/>
                <w:szCs w:val="24"/>
              </w:rPr>
            </w:pPr>
            <w:r w:rsidRPr="00E91B80">
              <w:rPr>
                <w:b/>
              </w:rPr>
              <w:t>Total Plant &amp; Equipment</w:t>
            </w:r>
          </w:p>
        </w:tc>
        <w:tc>
          <w:tcPr>
            <w:tcW w:w="1670" w:type="dxa"/>
            <w:tcBorders>
              <w:top w:val="single" w:sz="4" w:space="0" w:color="auto"/>
              <w:bottom w:val="double" w:sz="4" w:space="0" w:color="auto"/>
            </w:tcBorders>
            <w:shd w:val="clear" w:color="auto" w:fill="auto"/>
          </w:tcPr>
          <w:p w14:paraId="438A56B7" w14:textId="77777777" w:rsidR="00745DF0" w:rsidRPr="00522D47" w:rsidRDefault="00672B43" w:rsidP="00E71696">
            <w:r>
              <w:t>10,307</w:t>
            </w:r>
          </w:p>
        </w:tc>
        <w:tc>
          <w:tcPr>
            <w:tcW w:w="1565" w:type="dxa"/>
            <w:tcBorders>
              <w:top w:val="single" w:sz="4" w:space="0" w:color="auto"/>
              <w:bottom w:val="double" w:sz="4" w:space="0" w:color="auto"/>
            </w:tcBorders>
            <w:shd w:val="clear" w:color="auto" w:fill="auto"/>
          </w:tcPr>
          <w:p w14:paraId="2D2D91BC" w14:textId="77777777" w:rsidR="00745DF0" w:rsidRPr="00522D47" w:rsidRDefault="00745DF0" w:rsidP="00E71696">
            <w:r w:rsidRPr="00522D47">
              <w:t>24,169</w:t>
            </w:r>
          </w:p>
        </w:tc>
      </w:tr>
    </w:tbl>
    <w:p w14:paraId="57AC05AF" w14:textId="77777777" w:rsidR="00D2400B" w:rsidRDefault="00D2400B" w:rsidP="00E71696">
      <w:pPr>
        <w:rPr>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5920"/>
        <w:gridCol w:w="1701"/>
        <w:gridCol w:w="1559"/>
      </w:tblGrid>
      <w:tr w:rsidR="00CE710C" w14:paraId="1D7995A5" w14:textId="77777777" w:rsidTr="00CE710C">
        <w:trPr>
          <w:tblHeader/>
        </w:trPr>
        <w:tc>
          <w:tcPr>
            <w:tcW w:w="5920" w:type="dxa"/>
          </w:tcPr>
          <w:p w14:paraId="448C702A" w14:textId="248001FC" w:rsidR="00CE710C" w:rsidRDefault="00CE710C" w:rsidP="00CE710C">
            <w:pPr>
              <w:pStyle w:val="Heading2"/>
              <w:outlineLvl w:val="1"/>
              <w:rPr>
                <w:highlight w:val="yellow"/>
              </w:rPr>
            </w:pPr>
            <w:r>
              <w:t xml:space="preserve">10. </w:t>
            </w:r>
            <w:r w:rsidRPr="00F104FF">
              <w:t>Trade and Other Payables</w:t>
            </w:r>
          </w:p>
        </w:tc>
        <w:tc>
          <w:tcPr>
            <w:tcW w:w="1701" w:type="dxa"/>
          </w:tcPr>
          <w:p w14:paraId="5AB7E415" w14:textId="398F8944" w:rsidR="00CE710C" w:rsidRDefault="00CE710C" w:rsidP="00E71696">
            <w:pPr>
              <w:rPr>
                <w:highlight w:val="yellow"/>
              </w:rPr>
            </w:pPr>
            <w:r w:rsidRPr="00CE710C">
              <w:t>2016</w:t>
            </w:r>
            <w:r>
              <w:br/>
              <w:t>$</w:t>
            </w:r>
          </w:p>
        </w:tc>
        <w:tc>
          <w:tcPr>
            <w:tcW w:w="1559" w:type="dxa"/>
          </w:tcPr>
          <w:p w14:paraId="6A280CA2" w14:textId="541C46B9" w:rsidR="00CE710C" w:rsidRPr="00CE710C" w:rsidRDefault="00CE710C" w:rsidP="00E71696">
            <w:r w:rsidRPr="00CE710C">
              <w:t>2015</w:t>
            </w:r>
            <w:r w:rsidRPr="00CE710C">
              <w:br/>
              <w:t>$</w:t>
            </w:r>
          </w:p>
        </w:tc>
      </w:tr>
      <w:tr w:rsidR="00CE710C" w:rsidRPr="00CE710C" w14:paraId="3CB968B7" w14:textId="77777777" w:rsidTr="00CE710C">
        <w:tc>
          <w:tcPr>
            <w:tcW w:w="5920" w:type="dxa"/>
          </w:tcPr>
          <w:p w14:paraId="5C6E98E8" w14:textId="5BD20F81" w:rsidR="00CE710C" w:rsidRPr="00CE710C" w:rsidRDefault="00CE710C" w:rsidP="00E71696">
            <w:pPr>
              <w:rPr>
                <w:b/>
              </w:rPr>
            </w:pPr>
            <w:r w:rsidRPr="00CE710C">
              <w:rPr>
                <w:b/>
              </w:rPr>
              <w:t>Current</w:t>
            </w:r>
          </w:p>
        </w:tc>
        <w:tc>
          <w:tcPr>
            <w:tcW w:w="1701" w:type="dxa"/>
          </w:tcPr>
          <w:p w14:paraId="19ECDE71" w14:textId="77777777" w:rsidR="00CE710C" w:rsidRPr="00CE710C" w:rsidRDefault="00CE710C" w:rsidP="00E71696"/>
        </w:tc>
        <w:tc>
          <w:tcPr>
            <w:tcW w:w="1559" w:type="dxa"/>
          </w:tcPr>
          <w:p w14:paraId="37867814" w14:textId="77777777" w:rsidR="00CE710C" w:rsidRPr="00CE710C" w:rsidRDefault="00CE710C" w:rsidP="00E71696"/>
        </w:tc>
      </w:tr>
      <w:tr w:rsidR="00CE710C" w:rsidRPr="00CE710C" w14:paraId="52B6398E" w14:textId="77777777" w:rsidTr="00CE710C">
        <w:tc>
          <w:tcPr>
            <w:tcW w:w="5920" w:type="dxa"/>
          </w:tcPr>
          <w:p w14:paraId="2FF2F8F7" w14:textId="3D811F4A" w:rsidR="00CE710C" w:rsidRPr="00CE710C" w:rsidRDefault="004D0D34" w:rsidP="00E71696">
            <w:r>
              <w:t>Trade payables</w:t>
            </w:r>
          </w:p>
        </w:tc>
        <w:tc>
          <w:tcPr>
            <w:tcW w:w="1701" w:type="dxa"/>
          </w:tcPr>
          <w:p w14:paraId="1745F652" w14:textId="1D9A36F2" w:rsidR="00CE710C" w:rsidRPr="00CE710C" w:rsidRDefault="004D0D34" w:rsidP="00E71696">
            <w:r>
              <w:t>12,182</w:t>
            </w:r>
          </w:p>
        </w:tc>
        <w:tc>
          <w:tcPr>
            <w:tcW w:w="1559" w:type="dxa"/>
          </w:tcPr>
          <w:p w14:paraId="22BD496A" w14:textId="403AAC51" w:rsidR="00CE710C" w:rsidRPr="00CE710C" w:rsidRDefault="004D0D34" w:rsidP="00E71696">
            <w:r>
              <w:t>19,578</w:t>
            </w:r>
          </w:p>
        </w:tc>
      </w:tr>
      <w:tr w:rsidR="00CE710C" w:rsidRPr="00CE710C" w14:paraId="6206A221" w14:textId="77777777" w:rsidTr="00CE710C">
        <w:tc>
          <w:tcPr>
            <w:tcW w:w="5920" w:type="dxa"/>
          </w:tcPr>
          <w:p w14:paraId="33CAD274" w14:textId="25F1876E" w:rsidR="00CE710C" w:rsidRPr="00CE710C" w:rsidRDefault="004D0D34" w:rsidP="00E71696">
            <w:r>
              <w:t>Other payables</w:t>
            </w:r>
          </w:p>
        </w:tc>
        <w:tc>
          <w:tcPr>
            <w:tcW w:w="1701" w:type="dxa"/>
            <w:tcBorders>
              <w:bottom w:val="single" w:sz="4" w:space="0" w:color="auto"/>
            </w:tcBorders>
          </w:tcPr>
          <w:p w14:paraId="06F88C21" w14:textId="3DE53EEF" w:rsidR="00CE710C" w:rsidRPr="00CE710C" w:rsidRDefault="004D0D34" w:rsidP="00E71696">
            <w:r>
              <w:t>236,373</w:t>
            </w:r>
          </w:p>
        </w:tc>
        <w:tc>
          <w:tcPr>
            <w:tcW w:w="1559" w:type="dxa"/>
            <w:tcBorders>
              <w:bottom w:val="single" w:sz="4" w:space="0" w:color="auto"/>
            </w:tcBorders>
          </w:tcPr>
          <w:p w14:paraId="79B2F8FB" w14:textId="1EAC249A" w:rsidR="00CE710C" w:rsidRPr="00CE710C" w:rsidRDefault="004D0D34" w:rsidP="00E71696">
            <w:r>
              <w:t>123,575</w:t>
            </w:r>
          </w:p>
        </w:tc>
      </w:tr>
      <w:tr w:rsidR="00CE710C" w:rsidRPr="00CE710C" w14:paraId="48676AB4" w14:textId="77777777" w:rsidTr="00CE710C">
        <w:tc>
          <w:tcPr>
            <w:tcW w:w="5920" w:type="dxa"/>
          </w:tcPr>
          <w:p w14:paraId="3386A9E0" w14:textId="4D04F040" w:rsidR="00CE710C" w:rsidRPr="004D0D34" w:rsidRDefault="004D0D34" w:rsidP="00E71696">
            <w:pPr>
              <w:rPr>
                <w:b/>
              </w:rPr>
            </w:pPr>
            <w:r>
              <w:rPr>
                <w:b/>
              </w:rPr>
              <w:t>Total Trade and Other Payables</w:t>
            </w:r>
          </w:p>
        </w:tc>
        <w:tc>
          <w:tcPr>
            <w:tcW w:w="1701" w:type="dxa"/>
            <w:tcBorders>
              <w:top w:val="single" w:sz="4" w:space="0" w:color="auto"/>
              <w:bottom w:val="double" w:sz="4" w:space="0" w:color="auto"/>
            </w:tcBorders>
          </w:tcPr>
          <w:p w14:paraId="502FC0B4" w14:textId="5181ABF4" w:rsidR="00CE710C" w:rsidRPr="00CE710C" w:rsidRDefault="004D0D34" w:rsidP="00E71696">
            <w:r>
              <w:t>248,555</w:t>
            </w:r>
          </w:p>
        </w:tc>
        <w:tc>
          <w:tcPr>
            <w:tcW w:w="1559" w:type="dxa"/>
            <w:tcBorders>
              <w:top w:val="single" w:sz="4" w:space="0" w:color="auto"/>
              <w:bottom w:val="double" w:sz="4" w:space="0" w:color="auto"/>
            </w:tcBorders>
          </w:tcPr>
          <w:p w14:paraId="593103B0" w14:textId="76AE8E46" w:rsidR="00CE710C" w:rsidRPr="00CE710C" w:rsidRDefault="004D0D34" w:rsidP="00E71696">
            <w:r>
              <w:t>143,152</w:t>
            </w:r>
          </w:p>
        </w:tc>
      </w:tr>
    </w:tbl>
    <w:p w14:paraId="5FBFAE69" w14:textId="77777777" w:rsidR="00CE710C" w:rsidRPr="006D2D33" w:rsidRDefault="00CE710C" w:rsidP="00E71696">
      <w:pPr>
        <w:rPr>
          <w:highlight w:val="yellow"/>
        </w:rPr>
      </w:pPr>
    </w:p>
    <w:p w14:paraId="6DB4B817" w14:textId="77777777" w:rsidR="00603B49" w:rsidRDefault="00603B49" w:rsidP="00E91B80">
      <w:pPr>
        <w:jc w:val="center"/>
        <w:rPr>
          <w:i/>
        </w:rPr>
      </w:pPr>
    </w:p>
    <w:p w14:paraId="60B1B652" w14:textId="77777777" w:rsidR="006D2D33" w:rsidRPr="00E91B80" w:rsidRDefault="006D2D33" w:rsidP="00E91B80">
      <w:pPr>
        <w:jc w:val="center"/>
        <w:rPr>
          <w:i/>
        </w:rPr>
      </w:pPr>
      <w:r w:rsidRPr="00E91B80">
        <w:rPr>
          <w:i/>
        </w:rPr>
        <w:t>These notes form part of the financial statements</w:t>
      </w:r>
      <w:r w:rsidRPr="00E91B80">
        <w:rPr>
          <w:i/>
        </w:rPr>
        <w:br w:type="page"/>
      </w:r>
    </w:p>
    <w:tbl>
      <w:tblPr>
        <w:tblStyle w:val="TableGrid"/>
        <w:tblW w:w="90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Description w:val="trade and other payables"/>
      </w:tblPr>
      <w:tblGrid>
        <w:gridCol w:w="5848"/>
        <w:gridCol w:w="1559"/>
        <w:gridCol w:w="1689"/>
      </w:tblGrid>
      <w:tr w:rsidR="006D2D33" w:rsidRPr="00D1145B" w14:paraId="1C294F7F" w14:textId="77777777" w:rsidTr="005A5C48">
        <w:trPr>
          <w:tblHeader/>
          <w:jc w:val="center"/>
        </w:trPr>
        <w:tc>
          <w:tcPr>
            <w:tcW w:w="5848" w:type="dxa"/>
          </w:tcPr>
          <w:p w14:paraId="7DD66DBE" w14:textId="77777777" w:rsidR="006D2D33" w:rsidRPr="00F104FF" w:rsidRDefault="006D2D33" w:rsidP="005132DB">
            <w:pPr>
              <w:pStyle w:val="Heading2"/>
              <w:outlineLvl w:val="1"/>
              <w:rPr>
                <w:sz w:val="24"/>
                <w:szCs w:val="24"/>
              </w:rPr>
            </w:pPr>
            <w:r>
              <w:lastRenderedPageBreak/>
              <w:t>11.</w:t>
            </w:r>
            <w:r w:rsidR="000B4B10">
              <w:t xml:space="preserve"> </w:t>
            </w:r>
            <w:r>
              <w:t>Provisions</w:t>
            </w:r>
          </w:p>
        </w:tc>
        <w:tc>
          <w:tcPr>
            <w:tcW w:w="1559" w:type="dxa"/>
          </w:tcPr>
          <w:p w14:paraId="263D03B1" w14:textId="77777777" w:rsidR="006D2D33" w:rsidRPr="00D1145B" w:rsidRDefault="00EF1D9F" w:rsidP="00E71696">
            <w:pPr>
              <w:rPr>
                <w:sz w:val="24"/>
              </w:rPr>
            </w:pPr>
            <w:r>
              <w:t>2016</w:t>
            </w:r>
            <w:r w:rsidR="006D2D33" w:rsidRPr="00182357">
              <w:br/>
              <w:t>$</w:t>
            </w:r>
          </w:p>
        </w:tc>
        <w:tc>
          <w:tcPr>
            <w:tcW w:w="1689" w:type="dxa"/>
          </w:tcPr>
          <w:p w14:paraId="0DC365E9" w14:textId="77777777" w:rsidR="006D2D33" w:rsidRPr="00D1145B" w:rsidRDefault="00EF1D9F" w:rsidP="00E71696">
            <w:pPr>
              <w:rPr>
                <w:sz w:val="24"/>
              </w:rPr>
            </w:pPr>
            <w:r>
              <w:t>2015</w:t>
            </w:r>
            <w:r w:rsidR="006D2D33" w:rsidRPr="00182357">
              <w:br/>
              <w:t>$</w:t>
            </w:r>
          </w:p>
        </w:tc>
      </w:tr>
      <w:tr w:rsidR="006D2D33" w:rsidRPr="00522D47" w14:paraId="396D5498" w14:textId="77777777" w:rsidTr="005A5C48">
        <w:trPr>
          <w:jc w:val="center"/>
        </w:trPr>
        <w:tc>
          <w:tcPr>
            <w:tcW w:w="5848" w:type="dxa"/>
          </w:tcPr>
          <w:p w14:paraId="77DB8949" w14:textId="77777777" w:rsidR="006D2D33" w:rsidRPr="0001208A" w:rsidRDefault="006D2D33" w:rsidP="00E71696">
            <w:pPr>
              <w:rPr>
                <w:b/>
                <w:sz w:val="24"/>
                <w:szCs w:val="24"/>
              </w:rPr>
            </w:pPr>
            <w:r w:rsidRPr="0001208A">
              <w:rPr>
                <w:b/>
              </w:rPr>
              <w:t>Current</w:t>
            </w:r>
          </w:p>
        </w:tc>
        <w:tc>
          <w:tcPr>
            <w:tcW w:w="1559" w:type="dxa"/>
          </w:tcPr>
          <w:p w14:paraId="3C2EA0AB" w14:textId="77777777" w:rsidR="006D2D33" w:rsidRPr="00522D47" w:rsidRDefault="006D2D33" w:rsidP="00E71696"/>
        </w:tc>
        <w:tc>
          <w:tcPr>
            <w:tcW w:w="1689" w:type="dxa"/>
          </w:tcPr>
          <w:p w14:paraId="63D6905E" w14:textId="77777777" w:rsidR="006D2D33" w:rsidRPr="00522D47" w:rsidRDefault="006D2D33" w:rsidP="00E71696"/>
        </w:tc>
      </w:tr>
      <w:tr w:rsidR="00745DF0" w:rsidRPr="00522D47" w14:paraId="4C2BB1B9" w14:textId="77777777" w:rsidTr="005A5C48">
        <w:trPr>
          <w:jc w:val="center"/>
        </w:trPr>
        <w:tc>
          <w:tcPr>
            <w:tcW w:w="5848" w:type="dxa"/>
          </w:tcPr>
          <w:p w14:paraId="32531B05" w14:textId="77777777" w:rsidR="00745DF0" w:rsidRPr="00522D47" w:rsidRDefault="00745DF0" w:rsidP="00E71696">
            <w:pPr>
              <w:rPr>
                <w:sz w:val="24"/>
                <w:szCs w:val="24"/>
              </w:rPr>
            </w:pPr>
            <w:r w:rsidRPr="00522D47">
              <w:t>Liability for annual leave</w:t>
            </w:r>
          </w:p>
        </w:tc>
        <w:tc>
          <w:tcPr>
            <w:tcW w:w="1559" w:type="dxa"/>
          </w:tcPr>
          <w:p w14:paraId="39405374" w14:textId="77777777" w:rsidR="00745DF0" w:rsidRPr="00522D47" w:rsidRDefault="00A82DCE" w:rsidP="00E71696">
            <w:r>
              <w:t>46,196</w:t>
            </w:r>
          </w:p>
        </w:tc>
        <w:tc>
          <w:tcPr>
            <w:tcW w:w="1689" w:type="dxa"/>
          </w:tcPr>
          <w:p w14:paraId="73CE4B4D" w14:textId="77777777" w:rsidR="00745DF0" w:rsidRPr="00522D47" w:rsidRDefault="00745DF0" w:rsidP="00E71696">
            <w:r w:rsidRPr="00522D47">
              <w:t>66,470</w:t>
            </w:r>
          </w:p>
        </w:tc>
      </w:tr>
      <w:tr w:rsidR="00745DF0" w:rsidRPr="00522D47" w14:paraId="4E15F558" w14:textId="77777777" w:rsidTr="005A5C48">
        <w:trPr>
          <w:jc w:val="center"/>
        </w:trPr>
        <w:tc>
          <w:tcPr>
            <w:tcW w:w="5848" w:type="dxa"/>
          </w:tcPr>
          <w:p w14:paraId="434DDDA6" w14:textId="77777777" w:rsidR="00745DF0" w:rsidRPr="00522D47" w:rsidRDefault="00745DF0" w:rsidP="00E71696">
            <w:pPr>
              <w:rPr>
                <w:sz w:val="24"/>
                <w:szCs w:val="24"/>
              </w:rPr>
            </w:pPr>
            <w:r w:rsidRPr="00522D47">
              <w:rPr>
                <w:b/>
              </w:rPr>
              <w:t>Non-current</w:t>
            </w:r>
            <w:r w:rsidRPr="00522D47">
              <w:br/>
              <w:t>Provision for Long Service Leave</w:t>
            </w:r>
          </w:p>
        </w:tc>
        <w:tc>
          <w:tcPr>
            <w:tcW w:w="1559" w:type="dxa"/>
            <w:tcBorders>
              <w:bottom w:val="single" w:sz="2" w:space="0" w:color="auto"/>
            </w:tcBorders>
            <w:vAlign w:val="bottom"/>
          </w:tcPr>
          <w:p w14:paraId="1D3D022C" w14:textId="77777777" w:rsidR="00745DF0" w:rsidRPr="00522D47" w:rsidRDefault="00A82DCE" w:rsidP="00E71696">
            <w:r>
              <w:t>46,530</w:t>
            </w:r>
          </w:p>
        </w:tc>
        <w:tc>
          <w:tcPr>
            <w:tcW w:w="1689" w:type="dxa"/>
            <w:tcBorders>
              <w:bottom w:val="single" w:sz="2" w:space="0" w:color="auto"/>
            </w:tcBorders>
            <w:vAlign w:val="bottom"/>
          </w:tcPr>
          <w:p w14:paraId="488915CB" w14:textId="77777777" w:rsidR="00745DF0" w:rsidRPr="00522D47" w:rsidRDefault="00745DF0" w:rsidP="00E71696">
            <w:r w:rsidRPr="00522D47">
              <w:t>105,194</w:t>
            </w:r>
          </w:p>
        </w:tc>
      </w:tr>
      <w:tr w:rsidR="00745DF0" w:rsidRPr="00160D69" w14:paraId="7781A4D9" w14:textId="77777777" w:rsidTr="005A5C48">
        <w:trPr>
          <w:trHeight w:val="218"/>
          <w:jc w:val="center"/>
        </w:trPr>
        <w:tc>
          <w:tcPr>
            <w:tcW w:w="5848" w:type="dxa"/>
          </w:tcPr>
          <w:p w14:paraId="3B7220B0" w14:textId="77777777" w:rsidR="00745DF0" w:rsidRPr="0001208A" w:rsidRDefault="00745DF0" w:rsidP="00E71696">
            <w:pPr>
              <w:rPr>
                <w:b/>
                <w:sz w:val="24"/>
                <w:szCs w:val="24"/>
              </w:rPr>
            </w:pPr>
            <w:r w:rsidRPr="0001208A">
              <w:rPr>
                <w:b/>
              </w:rPr>
              <w:t>Total Provisions</w:t>
            </w:r>
          </w:p>
        </w:tc>
        <w:tc>
          <w:tcPr>
            <w:tcW w:w="1559" w:type="dxa"/>
            <w:tcBorders>
              <w:top w:val="single" w:sz="2" w:space="0" w:color="auto"/>
              <w:bottom w:val="double" w:sz="4" w:space="0" w:color="auto"/>
            </w:tcBorders>
          </w:tcPr>
          <w:p w14:paraId="245CD31C" w14:textId="77777777" w:rsidR="00745DF0" w:rsidRPr="00522D47" w:rsidRDefault="00A82DCE" w:rsidP="00E71696">
            <w:r>
              <w:t>92,726</w:t>
            </w:r>
          </w:p>
        </w:tc>
        <w:tc>
          <w:tcPr>
            <w:tcW w:w="1689" w:type="dxa"/>
            <w:tcBorders>
              <w:top w:val="single" w:sz="2" w:space="0" w:color="auto"/>
              <w:bottom w:val="double" w:sz="4" w:space="0" w:color="auto"/>
            </w:tcBorders>
          </w:tcPr>
          <w:p w14:paraId="181BA47A" w14:textId="77777777" w:rsidR="00745DF0" w:rsidRPr="00522D47" w:rsidRDefault="00745DF0" w:rsidP="00E71696">
            <w:r w:rsidRPr="00522D47">
              <w:t>171,664</w:t>
            </w:r>
          </w:p>
        </w:tc>
      </w:tr>
    </w:tbl>
    <w:p w14:paraId="439E1271" w14:textId="77777777" w:rsidR="00D2400B" w:rsidRPr="0001208A" w:rsidRDefault="00D2400B" w:rsidP="00E71696">
      <w:pPr>
        <w:rPr>
          <w:b/>
        </w:rPr>
      </w:pPr>
      <w:r w:rsidRPr="0001208A">
        <w:rPr>
          <w:b/>
        </w:rPr>
        <w:t>Provision for Long-term Employee Benefits</w:t>
      </w:r>
    </w:p>
    <w:p w14:paraId="22364B66" w14:textId="77777777" w:rsidR="00D2400B" w:rsidRDefault="00D2400B" w:rsidP="00E71696">
      <w:r>
        <w:t>A provision has been recognis</w:t>
      </w:r>
      <w:r w:rsidRPr="00D916BE">
        <w:t>ed for employee entitlements relating to long service leave</w:t>
      </w:r>
      <w:r>
        <w:t xml:space="preserve">. </w:t>
      </w:r>
      <w:r w:rsidRPr="00D916BE">
        <w:t>The measurement and recognition criteria relating to employee benefits have been included in Note 1 to this report.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capital redemption reserves"/>
      </w:tblPr>
      <w:tblGrid>
        <w:gridCol w:w="5910"/>
        <w:gridCol w:w="1539"/>
        <w:gridCol w:w="1605"/>
      </w:tblGrid>
      <w:tr w:rsidR="0078384F" w:rsidRPr="0078384F" w14:paraId="01B395F1" w14:textId="77777777" w:rsidTr="00DB3DFE">
        <w:trPr>
          <w:cnfStyle w:val="100000000000" w:firstRow="1" w:lastRow="0" w:firstColumn="0" w:lastColumn="0" w:oddVBand="0" w:evenVBand="0" w:oddHBand="0" w:evenHBand="0" w:firstRowFirstColumn="0" w:firstRowLastColumn="0" w:lastRowFirstColumn="0" w:lastRowLastColumn="0"/>
          <w:tblHeader/>
          <w:jc w:val="center"/>
        </w:trPr>
        <w:tc>
          <w:tcPr>
            <w:tcW w:w="5910" w:type="dxa"/>
          </w:tcPr>
          <w:p w14:paraId="17F7536F" w14:textId="77777777" w:rsidR="0078384F" w:rsidRPr="00522D47" w:rsidRDefault="00EC6D27" w:rsidP="005132DB">
            <w:pPr>
              <w:pStyle w:val="Heading2"/>
              <w:outlineLvl w:val="1"/>
              <w:rPr>
                <w:rFonts w:ascii="Times New Roman" w:hAnsi="Times New Roman"/>
                <w:sz w:val="24"/>
                <w:szCs w:val="24"/>
              </w:rPr>
            </w:pPr>
            <w:r w:rsidRPr="00522D47">
              <w:t>12.</w:t>
            </w:r>
            <w:r w:rsidR="000B4B10" w:rsidRPr="00522D47">
              <w:t xml:space="preserve"> </w:t>
            </w:r>
            <w:r w:rsidR="0078384F" w:rsidRPr="00522D47">
              <w:t>Reserves</w:t>
            </w:r>
          </w:p>
        </w:tc>
        <w:tc>
          <w:tcPr>
            <w:tcW w:w="1539" w:type="dxa"/>
          </w:tcPr>
          <w:p w14:paraId="064898D4" w14:textId="77777777" w:rsidR="0078384F" w:rsidRPr="00522D47" w:rsidRDefault="00EF1D9F" w:rsidP="00E71696">
            <w:r>
              <w:t>2016</w:t>
            </w:r>
            <w:r w:rsidR="0078384F" w:rsidRPr="00522D47">
              <w:br/>
              <w:t>$</w:t>
            </w:r>
          </w:p>
        </w:tc>
        <w:tc>
          <w:tcPr>
            <w:tcW w:w="1605" w:type="dxa"/>
          </w:tcPr>
          <w:p w14:paraId="2A1BA5C7" w14:textId="77777777" w:rsidR="0078384F" w:rsidRPr="00522D47" w:rsidRDefault="00EF1D9F" w:rsidP="00E71696">
            <w:r>
              <w:t>2015</w:t>
            </w:r>
            <w:r w:rsidR="0078384F" w:rsidRPr="00522D47">
              <w:br/>
              <w:t>$</w:t>
            </w:r>
          </w:p>
        </w:tc>
      </w:tr>
      <w:tr w:rsidR="0078384F" w:rsidRPr="00160D69" w14:paraId="3491FA54" w14:textId="77777777" w:rsidTr="00DB3DFE">
        <w:trPr>
          <w:jc w:val="center"/>
        </w:trPr>
        <w:tc>
          <w:tcPr>
            <w:tcW w:w="5910" w:type="dxa"/>
          </w:tcPr>
          <w:p w14:paraId="618BFF70" w14:textId="77777777" w:rsidR="0078384F" w:rsidRPr="00522D47" w:rsidRDefault="0078384F" w:rsidP="00E71696">
            <w:r w:rsidRPr="00522D47">
              <w:t>Capital Redemption Reserve</w:t>
            </w:r>
          </w:p>
        </w:tc>
        <w:tc>
          <w:tcPr>
            <w:tcW w:w="1539" w:type="dxa"/>
            <w:tcBorders>
              <w:bottom w:val="single" w:sz="2" w:space="0" w:color="auto"/>
            </w:tcBorders>
          </w:tcPr>
          <w:p w14:paraId="52D35111" w14:textId="77777777" w:rsidR="0078384F" w:rsidRPr="00522D47" w:rsidRDefault="001928A7" w:rsidP="00E71696">
            <w:r>
              <w:t>448,100</w:t>
            </w:r>
          </w:p>
        </w:tc>
        <w:tc>
          <w:tcPr>
            <w:tcW w:w="1605" w:type="dxa"/>
            <w:tcBorders>
              <w:bottom w:val="single" w:sz="2" w:space="0" w:color="auto"/>
            </w:tcBorders>
          </w:tcPr>
          <w:p w14:paraId="0FD9E0CE" w14:textId="77777777" w:rsidR="0078384F" w:rsidRPr="00522D47" w:rsidRDefault="0078384F" w:rsidP="00E71696">
            <w:r w:rsidRPr="00522D47">
              <w:t>448,100</w:t>
            </w:r>
          </w:p>
        </w:tc>
      </w:tr>
      <w:tr w:rsidR="0078384F" w:rsidRPr="00160D69" w14:paraId="7B33567D" w14:textId="77777777" w:rsidTr="00DB3DFE">
        <w:trPr>
          <w:jc w:val="center"/>
        </w:trPr>
        <w:tc>
          <w:tcPr>
            <w:tcW w:w="5910" w:type="dxa"/>
          </w:tcPr>
          <w:p w14:paraId="5F3D4AE5" w14:textId="77777777" w:rsidR="0078384F" w:rsidRPr="00522D47" w:rsidRDefault="0078384F" w:rsidP="00E71696"/>
        </w:tc>
        <w:tc>
          <w:tcPr>
            <w:tcW w:w="1539" w:type="dxa"/>
            <w:tcBorders>
              <w:top w:val="single" w:sz="2" w:space="0" w:color="auto"/>
              <w:bottom w:val="double" w:sz="4" w:space="0" w:color="auto"/>
            </w:tcBorders>
          </w:tcPr>
          <w:p w14:paraId="4D6F1FFD" w14:textId="77777777" w:rsidR="0078384F" w:rsidRPr="00522D47" w:rsidRDefault="001928A7" w:rsidP="00E71696">
            <w:r>
              <w:t>448,100</w:t>
            </w:r>
          </w:p>
        </w:tc>
        <w:tc>
          <w:tcPr>
            <w:tcW w:w="1605" w:type="dxa"/>
            <w:tcBorders>
              <w:top w:val="single" w:sz="2" w:space="0" w:color="auto"/>
              <w:bottom w:val="double" w:sz="4" w:space="0" w:color="auto"/>
            </w:tcBorders>
          </w:tcPr>
          <w:p w14:paraId="3B2AFCDC" w14:textId="77777777" w:rsidR="0078384F" w:rsidRPr="00522D47" w:rsidRDefault="0078384F" w:rsidP="00E71696">
            <w:r w:rsidRPr="00522D47">
              <w:t>448,100</w:t>
            </w:r>
          </w:p>
        </w:tc>
      </w:tr>
    </w:tbl>
    <w:p w14:paraId="7B8A000E" w14:textId="77777777" w:rsidR="00D2400B" w:rsidRPr="0001208A" w:rsidRDefault="00D2400B" w:rsidP="00E71696">
      <w:pPr>
        <w:rPr>
          <w:b/>
        </w:rPr>
      </w:pPr>
      <w:r w:rsidRPr="0001208A">
        <w:rPr>
          <w:b/>
        </w:rPr>
        <w:t>Capital Redemption Reserve</w:t>
      </w:r>
    </w:p>
    <w:p w14:paraId="783102A8" w14:textId="77777777" w:rsidR="00D2400B" w:rsidRPr="00FE72FC" w:rsidRDefault="00D2400B" w:rsidP="00E71696">
      <w:pPr>
        <w:rPr>
          <w:highlight w:val="yellow"/>
        </w:rPr>
      </w:pPr>
      <w:r w:rsidRPr="00FE72FC">
        <w:t>Upon disposal of revalued assets, any related revaluation increment standing to the credit of the</w:t>
      </w:r>
      <w:r w:rsidR="00BE7EB4">
        <w:t xml:space="preserve"> </w:t>
      </w:r>
      <w:r w:rsidRPr="00FE72FC">
        <w:t>asset revaluation reserve is transferred to the capital redemption reserve.</w:t>
      </w:r>
    </w:p>
    <w:p w14:paraId="0B3FE4B1" w14:textId="77777777" w:rsidR="00D2400B" w:rsidRPr="00A32AC0" w:rsidRDefault="00EC6D27" w:rsidP="005132DB">
      <w:pPr>
        <w:pStyle w:val="Heading2"/>
      </w:pPr>
      <w:r w:rsidRPr="00A32AC0">
        <w:t>13.</w:t>
      </w:r>
      <w:r w:rsidR="000B4B10">
        <w:t xml:space="preserve"> </w:t>
      </w:r>
      <w:r w:rsidR="00D2400B" w:rsidRPr="00A32AC0">
        <w:t>Members’ Guarantee</w:t>
      </w:r>
    </w:p>
    <w:p w14:paraId="2D34FEF1" w14:textId="77777777" w:rsidR="00D2400B" w:rsidRDefault="00D2400B" w:rsidP="00E71696">
      <w:r w:rsidRPr="00BE679F">
        <w:t xml:space="preserve">The company is limited by guarantee. If the company is wound up, the Constitution states that each member is required to contribute a maximum of $50 each towards meeting any outstanding </w:t>
      </w:r>
      <w:r w:rsidRPr="00A46163">
        <w:t xml:space="preserve">obligations of the Company. At 30 June </w:t>
      </w:r>
      <w:r w:rsidR="00EF1D9F">
        <w:t>2016</w:t>
      </w:r>
      <w:r w:rsidRPr="00A46163">
        <w:t xml:space="preserve"> the number of members </w:t>
      </w:r>
      <w:r w:rsidRPr="00F73CFD">
        <w:t xml:space="preserve">was </w:t>
      </w:r>
      <w:r w:rsidR="00470969" w:rsidRPr="00F73CFD">
        <w:t>15</w:t>
      </w:r>
      <w:r w:rsidRPr="00A46163">
        <w:t xml:space="preserve"> (</w:t>
      </w:r>
      <w:r w:rsidR="00EF1D9F">
        <w:t>2015</w:t>
      </w:r>
      <w:r w:rsidR="00470969" w:rsidRPr="00A46163">
        <w:t>:1</w:t>
      </w:r>
      <w:r w:rsidR="00522D47" w:rsidRPr="00A46163">
        <w:t>5</w:t>
      </w:r>
      <w:r w:rsidRPr="00A46163">
        <w:t>).</w:t>
      </w:r>
    </w:p>
    <w:p w14:paraId="49073700" w14:textId="77777777" w:rsidR="00603B49" w:rsidRDefault="00603B49" w:rsidP="0001208A">
      <w:pPr>
        <w:jc w:val="center"/>
        <w:rPr>
          <w:i/>
        </w:rPr>
      </w:pPr>
    </w:p>
    <w:p w14:paraId="6B07783F" w14:textId="189D0AE4" w:rsidR="0001208A" w:rsidRPr="00BE679F" w:rsidRDefault="0001208A" w:rsidP="0001208A">
      <w:pPr>
        <w:jc w:val="center"/>
      </w:pPr>
      <w:r w:rsidRPr="0001208A">
        <w:rPr>
          <w:i/>
        </w:rPr>
        <w:t>These notes form part of the financial statements</w:t>
      </w:r>
    </w:p>
    <w:p w14:paraId="2A9C782E" w14:textId="77777777" w:rsidR="0001208A" w:rsidRDefault="0001208A">
      <w:pPr>
        <w:spacing w:after="200"/>
        <w:ind w:right="0"/>
        <w:rPr>
          <w:rFonts w:ascii="Hanken Book" w:hAnsi="Hanken Book"/>
          <w:b/>
          <w:color w:val="1460AA"/>
          <w:sz w:val="36"/>
          <w:szCs w:val="33"/>
        </w:rPr>
      </w:pPr>
      <w:r>
        <w:br w:type="page"/>
      </w:r>
    </w:p>
    <w:p w14:paraId="65253692" w14:textId="5BB785FF" w:rsidR="00D2400B" w:rsidRPr="00FC5AAD" w:rsidRDefault="00EC6D27" w:rsidP="005132DB">
      <w:pPr>
        <w:pStyle w:val="Heading2"/>
      </w:pPr>
      <w:r>
        <w:lastRenderedPageBreak/>
        <w:t>14.</w:t>
      </w:r>
      <w:r w:rsidR="000B4B10">
        <w:t xml:space="preserve"> </w:t>
      </w:r>
      <w:r w:rsidR="00D2400B" w:rsidRPr="00FC5AAD">
        <w:t>Financial Risk Management</w:t>
      </w:r>
    </w:p>
    <w:p w14:paraId="4CF8F057" w14:textId="5FF17C88" w:rsidR="002A1136" w:rsidRPr="0001208A" w:rsidRDefault="00D2400B" w:rsidP="0001208A">
      <w:pPr>
        <w:rPr>
          <w:i/>
        </w:rPr>
      </w:pPr>
      <w:r w:rsidRPr="00BE679F">
        <w:t>The company’s financial instruments consist mainly of deposits wit</w:t>
      </w:r>
      <w:r w:rsidR="00BE679F">
        <w:t xml:space="preserve">h banks, short-term investments, </w:t>
      </w:r>
      <w:r w:rsidRPr="00BE679F">
        <w:t>and accounts receivable and payable.</w:t>
      </w:r>
    </w:p>
    <w:p w14:paraId="22EAF8F5" w14:textId="77777777" w:rsidR="00D2400B" w:rsidRPr="00BE679F" w:rsidRDefault="00D2400B" w:rsidP="00E71696">
      <w:r w:rsidRPr="00BE679F">
        <w:t>The totals for each category of financial instruments, measured in accordance with AASB 139 as detailed in the accounting policies to these financial statements, are as follows:</w:t>
      </w:r>
    </w:p>
    <w:tbl>
      <w:tblPr>
        <w:tblStyle w:val="TableGrid"/>
        <w:tblW w:w="77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inancial assets and liabilities"/>
      </w:tblPr>
      <w:tblGrid>
        <w:gridCol w:w="4030"/>
        <w:gridCol w:w="992"/>
        <w:gridCol w:w="1418"/>
        <w:gridCol w:w="1288"/>
      </w:tblGrid>
      <w:tr w:rsidR="004D0D34" w:rsidRPr="00522D47" w14:paraId="125A36EF" w14:textId="77777777" w:rsidTr="004D0D34">
        <w:trPr>
          <w:cnfStyle w:val="100000000000" w:firstRow="1" w:lastRow="0" w:firstColumn="0" w:lastColumn="0" w:oddVBand="0" w:evenVBand="0" w:oddHBand="0" w:evenHBand="0" w:firstRowFirstColumn="0" w:firstRowLastColumn="0" w:lastRowFirstColumn="0" w:lastRowLastColumn="0"/>
          <w:tblHeader/>
          <w:jc w:val="center"/>
        </w:trPr>
        <w:tc>
          <w:tcPr>
            <w:tcW w:w="4030" w:type="dxa"/>
          </w:tcPr>
          <w:p w14:paraId="2B5D9A9C" w14:textId="77777777" w:rsidR="004D0D34" w:rsidRPr="00522D47" w:rsidRDefault="004D0D34" w:rsidP="00E71696">
            <w:r w:rsidRPr="00522D47">
              <w:t>Financial Assets</w:t>
            </w:r>
          </w:p>
        </w:tc>
        <w:tc>
          <w:tcPr>
            <w:tcW w:w="992" w:type="dxa"/>
          </w:tcPr>
          <w:p w14:paraId="43476347" w14:textId="77777777" w:rsidR="004D0D34" w:rsidRPr="00522D47" w:rsidRDefault="004D0D34" w:rsidP="00E71696">
            <w:pPr>
              <w:rPr>
                <w:b w:val="0"/>
              </w:rPr>
            </w:pPr>
            <w:r w:rsidRPr="00522D47">
              <w:t>Note</w:t>
            </w:r>
          </w:p>
        </w:tc>
        <w:tc>
          <w:tcPr>
            <w:tcW w:w="1418" w:type="dxa"/>
          </w:tcPr>
          <w:p w14:paraId="704760BC" w14:textId="77777777" w:rsidR="004D0D34" w:rsidRPr="00522D47" w:rsidRDefault="004D0D34" w:rsidP="00E71696">
            <w:pPr>
              <w:rPr>
                <w:b w:val="0"/>
                <w:sz w:val="24"/>
                <w:szCs w:val="24"/>
              </w:rPr>
            </w:pPr>
            <w:r>
              <w:t>2016</w:t>
            </w:r>
            <w:r w:rsidRPr="00522D47">
              <w:br/>
              <w:t>$</w:t>
            </w:r>
          </w:p>
        </w:tc>
        <w:tc>
          <w:tcPr>
            <w:tcW w:w="1288" w:type="dxa"/>
          </w:tcPr>
          <w:p w14:paraId="182FA2E1" w14:textId="77777777" w:rsidR="004D0D34" w:rsidRPr="00522D47" w:rsidRDefault="004D0D34" w:rsidP="00E71696">
            <w:pPr>
              <w:rPr>
                <w:b w:val="0"/>
                <w:sz w:val="24"/>
                <w:szCs w:val="24"/>
              </w:rPr>
            </w:pPr>
            <w:r>
              <w:t>2015</w:t>
            </w:r>
            <w:r w:rsidRPr="00522D47">
              <w:br/>
              <w:t>$</w:t>
            </w:r>
          </w:p>
        </w:tc>
      </w:tr>
      <w:tr w:rsidR="004D0D34" w:rsidRPr="00522D47" w14:paraId="5546038F" w14:textId="77777777" w:rsidTr="004D0D34">
        <w:trPr>
          <w:jc w:val="center"/>
        </w:trPr>
        <w:tc>
          <w:tcPr>
            <w:tcW w:w="4030" w:type="dxa"/>
          </w:tcPr>
          <w:p w14:paraId="29FA3CC0" w14:textId="77777777" w:rsidR="004D0D34" w:rsidRPr="00522D47" w:rsidRDefault="004D0D34" w:rsidP="00E71696">
            <w:r w:rsidRPr="00522D47">
              <w:t>Cash and cash equivalent</w:t>
            </w:r>
          </w:p>
        </w:tc>
        <w:tc>
          <w:tcPr>
            <w:tcW w:w="992" w:type="dxa"/>
          </w:tcPr>
          <w:p w14:paraId="3F066E12" w14:textId="77777777" w:rsidR="004D0D34" w:rsidRPr="00522D47" w:rsidRDefault="004D0D34" w:rsidP="00E71696">
            <w:r w:rsidRPr="00522D47">
              <w:t>6</w:t>
            </w:r>
          </w:p>
        </w:tc>
        <w:tc>
          <w:tcPr>
            <w:tcW w:w="1418" w:type="dxa"/>
          </w:tcPr>
          <w:p w14:paraId="3A668A2A" w14:textId="77777777" w:rsidR="004D0D34" w:rsidRPr="00522D47" w:rsidRDefault="004D0D34" w:rsidP="00E71696">
            <w:r>
              <w:t>1,037,908</w:t>
            </w:r>
          </w:p>
        </w:tc>
        <w:tc>
          <w:tcPr>
            <w:tcW w:w="1288" w:type="dxa"/>
          </w:tcPr>
          <w:p w14:paraId="3E434450" w14:textId="77777777" w:rsidR="004D0D34" w:rsidRPr="00522D47" w:rsidRDefault="004D0D34" w:rsidP="00E71696">
            <w:r w:rsidRPr="00522D47">
              <w:t>1,076,624</w:t>
            </w:r>
          </w:p>
        </w:tc>
      </w:tr>
      <w:tr w:rsidR="004D0D34" w:rsidRPr="00522D47" w14:paraId="58D17930" w14:textId="77777777" w:rsidTr="004D0D34">
        <w:trPr>
          <w:jc w:val="center"/>
        </w:trPr>
        <w:tc>
          <w:tcPr>
            <w:tcW w:w="4030" w:type="dxa"/>
          </w:tcPr>
          <w:p w14:paraId="7A03580B" w14:textId="77777777" w:rsidR="004D0D34" w:rsidRPr="00522D47" w:rsidRDefault="004D0D34" w:rsidP="00E71696">
            <w:r w:rsidRPr="00522D47">
              <w:t>Financial assets at fair value through profit or loss</w:t>
            </w:r>
          </w:p>
        </w:tc>
        <w:tc>
          <w:tcPr>
            <w:tcW w:w="992" w:type="dxa"/>
          </w:tcPr>
          <w:p w14:paraId="6EEC32FB" w14:textId="77777777" w:rsidR="004D0D34" w:rsidRPr="00522D47" w:rsidRDefault="004D0D34" w:rsidP="00E71696">
            <w:r w:rsidRPr="00522D47">
              <w:t>8</w:t>
            </w:r>
          </w:p>
        </w:tc>
        <w:tc>
          <w:tcPr>
            <w:tcW w:w="1418" w:type="dxa"/>
          </w:tcPr>
          <w:p w14:paraId="0EF6DBEC" w14:textId="77777777" w:rsidR="004D0D34" w:rsidRPr="00522D47" w:rsidRDefault="004D0D34" w:rsidP="00E71696">
            <w:r>
              <w:t>3,690,706</w:t>
            </w:r>
          </w:p>
        </w:tc>
        <w:tc>
          <w:tcPr>
            <w:tcW w:w="1288" w:type="dxa"/>
          </w:tcPr>
          <w:p w14:paraId="72F3BBDA" w14:textId="77777777" w:rsidR="004D0D34" w:rsidRPr="00522D47" w:rsidRDefault="004D0D34" w:rsidP="00E71696">
            <w:r w:rsidRPr="00522D47">
              <w:t>4,618,790</w:t>
            </w:r>
          </w:p>
        </w:tc>
      </w:tr>
      <w:tr w:rsidR="004D0D34" w:rsidRPr="00522D47" w14:paraId="7D2A4272" w14:textId="77777777" w:rsidTr="004D0D34">
        <w:trPr>
          <w:jc w:val="center"/>
        </w:trPr>
        <w:tc>
          <w:tcPr>
            <w:tcW w:w="4030" w:type="dxa"/>
          </w:tcPr>
          <w:p w14:paraId="7722F9FB" w14:textId="77777777" w:rsidR="004D0D34" w:rsidRPr="00522D47" w:rsidRDefault="004D0D34" w:rsidP="00E71696">
            <w:r w:rsidRPr="00522D47">
              <w:t>Trade and other receivables</w:t>
            </w:r>
          </w:p>
        </w:tc>
        <w:tc>
          <w:tcPr>
            <w:tcW w:w="992" w:type="dxa"/>
          </w:tcPr>
          <w:p w14:paraId="1B7A97A3" w14:textId="77777777" w:rsidR="004D0D34" w:rsidRPr="00522D47" w:rsidRDefault="004D0D34" w:rsidP="00E71696">
            <w:r w:rsidRPr="00522D47">
              <w:t>7</w:t>
            </w:r>
          </w:p>
        </w:tc>
        <w:tc>
          <w:tcPr>
            <w:tcW w:w="1418" w:type="dxa"/>
            <w:tcBorders>
              <w:bottom w:val="single" w:sz="4" w:space="0" w:color="auto"/>
            </w:tcBorders>
          </w:tcPr>
          <w:p w14:paraId="6071DB11" w14:textId="77777777" w:rsidR="004D0D34" w:rsidRPr="001928A7" w:rsidRDefault="004D0D34" w:rsidP="00E71696">
            <w:r w:rsidRPr="001928A7">
              <w:t>324,259</w:t>
            </w:r>
          </w:p>
        </w:tc>
        <w:tc>
          <w:tcPr>
            <w:tcW w:w="1288" w:type="dxa"/>
            <w:tcBorders>
              <w:bottom w:val="single" w:sz="4" w:space="0" w:color="auto"/>
            </w:tcBorders>
          </w:tcPr>
          <w:p w14:paraId="2D18D25F" w14:textId="77777777" w:rsidR="004D0D34" w:rsidRPr="00522D47" w:rsidRDefault="004D0D34" w:rsidP="00E71696">
            <w:pPr>
              <w:rPr>
                <w:sz w:val="24"/>
                <w:szCs w:val="24"/>
              </w:rPr>
            </w:pPr>
            <w:r w:rsidRPr="00522D47">
              <w:t>156,658</w:t>
            </w:r>
          </w:p>
        </w:tc>
      </w:tr>
      <w:tr w:rsidR="004D0D34" w:rsidRPr="00522D47" w14:paraId="059A08D5" w14:textId="77777777" w:rsidTr="004D0D34">
        <w:trPr>
          <w:jc w:val="center"/>
        </w:trPr>
        <w:tc>
          <w:tcPr>
            <w:tcW w:w="4030" w:type="dxa"/>
          </w:tcPr>
          <w:p w14:paraId="59440713" w14:textId="77777777" w:rsidR="004D0D34" w:rsidRPr="0001208A" w:rsidRDefault="004D0D34" w:rsidP="00E71696">
            <w:pPr>
              <w:rPr>
                <w:b/>
              </w:rPr>
            </w:pPr>
            <w:r w:rsidRPr="0001208A">
              <w:rPr>
                <w:b/>
              </w:rPr>
              <w:t>Total Trade and Other Receivables</w:t>
            </w:r>
          </w:p>
        </w:tc>
        <w:tc>
          <w:tcPr>
            <w:tcW w:w="992" w:type="dxa"/>
          </w:tcPr>
          <w:p w14:paraId="25F5E9A3" w14:textId="77777777" w:rsidR="004D0D34" w:rsidRPr="00522D47" w:rsidRDefault="004D0D34" w:rsidP="00E71696"/>
        </w:tc>
        <w:tc>
          <w:tcPr>
            <w:tcW w:w="1418" w:type="dxa"/>
            <w:tcBorders>
              <w:top w:val="single" w:sz="4" w:space="0" w:color="auto"/>
              <w:bottom w:val="double" w:sz="4" w:space="0" w:color="auto"/>
            </w:tcBorders>
          </w:tcPr>
          <w:p w14:paraId="319590BB" w14:textId="77777777" w:rsidR="004D0D34" w:rsidRPr="00522D47" w:rsidRDefault="004D0D34" w:rsidP="00E71696">
            <w:r>
              <w:t>5,052,873</w:t>
            </w:r>
          </w:p>
        </w:tc>
        <w:tc>
          <w:tcPr>
            <w:tcW w:w="1288" w:type="dxa"/>
            <w:tcBorders>
              <w:top w:val="single" w:sz="4" w:space="0" w:color="auto"/>
              <w:bottom w:val="double" w:sz="4" w:space="0" w:color="auto"/>
            </w:tcBorders>
          </w:tcPr>
          <w:p w14:paraId="3939CF31" w14:textId="77777777" w:rsidR="004D0D34" w:rsidRPr="00522D47" w:rsidRDefault="004D0D34" w:rsidP="00E71696">
            <w:r w:rsidRPr="00522D47">
              <w:t>5,852,072</w:t>
            </w:r>
          </w:p>
        </w:tc>
      </w:tr>
      <w:tr w:rsidR="004D0D34" w:rsidRPr="00522D47" w14:paraId="6D60874F" w14:textId="77777777" w:rsidTr="004D0D34">
        <w:trPr>
          <w:jc w:val="center"/>
        </w:trPr>
        <w:tc>
          <w:tcPr>
            <w:tcW w:w="4030" w:type="dxa"/>
          </w:tcPr>
          <w:p w14:paraId="01517E78" w14:textId="77777777" w:rsidR="004D0D34" w:rsidRPr="0001208A" w:rsidRDefault="004D0D34" w:rsidP="00E71696">
            <w:pPr>
              <w:rPr>
                <w:b/>
              </w:rPr>
            </w:pPr>
            <w:r w:rsidRPr="0001208A">
              <w:rPr>
                <w:b/>
              </w:rPr>
              <w:t>Financial Liabilities</w:t>
            </w:r>
          </w:p>
        </w:tc>
        <w:tc>
          <w:tcPr>
            <w:tcW w:w="992" w:type="dxa"/>
          </w:tcPr>
          <w:p w14:paraId="47EB3823" w14:textId="77777777" w:rsidR="004D0D34" w:rsidRPr="00522D47" w:rsidRDefault="004D0D34" w:rsidP="00E71696"/>
        </w:tc>
        <w:tc>
          <w:tcPr>
            <w:tcW w:w="1418" w:type="dxa"/>
            <w:tcBorders>
              <w:top w:val="double" w:sz="4" w:space="0" w:color="auto"/>
            </w:tcBorders>
          </w:tcPr>
          <w:p w14:paraId="2D0E8C6B" w14:textId="77777777" w:rsidR="004D0D34" w:rsidRPr="00522D47" w:rsidRDefault="004D0D34" w:rsidP="00E71696"/>
        </w:tc>
        <w:tc>
          <w:tcPr>
            <w:tcW w:w="1288" w:type="dxa"/>
            <w:tcBorders>
              <w:top w:val="double" w:sz="4" w:space="0" w:color="auto"/>
            </w:tcBorders>
          </w:tcPr>
          <w:p w14:paraId="01695030" w14:textId="77777777" w:rsidR="004D0D34" w:rsidRPr="00522D47" w:rsidRDefault="004D0D34" w:rsidP="00E71696"/>
        </w:tc>
      </w:tr>
      <w:tr w:rsidR="004D0D34" w:rsidRPr="006D5248" w14:paraId="4C16202C" w14:textId="77777777" w:rsidTr="004D0D34">
        <w:trPr>
          <w:jc w:val="center"/>
        </w:trPr>
        <w:tc>
          <w:tcPr>
            <w:tcW w:w="4030" w:type="dxa"/>
          </w:tcPr>
          <w:p w14:paraId="2B33DA73" w14:textId="77777777" w:rsidR="004D0D34" w:rsidRPr="00522D47" w:rsidRDefault="004D0D34" w:rsidP="00E71696">
            <w:r w:rsidRPr="00522D47">
              <w:t>Financial liabilities at amortised cost</w:t>
            </w:r>
          </w:p>
        </w:tc>
        <w:tc>
          <w:tcPr>
            <w:tcW w:w="992" w:type="dxa"/>
          </w:tcPr>
          <w:p w14:paraId="45C124AF" w14:textId="77777777" w:rsidR="004D0D34" w:rsidRPr="00522D47" w:rsidRDefault="004D0D34" w:rsidP="00E71696">
            <w:r w:rsidRPr="00522D47">
              <w:t>10</w:t>
            </w:r>
          </w:p>
        </w:tc>
        <w:tc>
          <w:tcPr>
            <w:tcW w:w="1418" w:type="dxa"/>
          </w:tcPr>
          <w:p w14:paraId="67071913" w14:textId="77777777" w:rsidR="004D0D34" w:rsidRPr="001928A7" w:rsidRDefault="004D0D34" w:rsidP="00E71696">
            <w:r w:rsidRPr="001928A7">
              <w:t>248,555</w:t>
            </w:r>
          </w:p>
        </w:tc>
        <w:tc>
          <w:tcPr>
            <w:tcW w:w="1288" w:type="dxa"/>
          </w:tcPr>
          <w:p w14:paraId="7FBBC7CB" w14:textId="77777777" w:rsidR="004D0D34" w:rsidRPr="00522D47" w:rsidRDefault="004D0D34" w:rsidP="00E71696">
            <w:pPr>
              <w:rPr>
                <w:sz w:val="24"/>
                <w:szCs w:val="24"/>
              </w:rPr>
            </w:pPr>
            <w:r w:rsidRPr="00522D47">
              <w:t>143,152</w:t>
            </w:r>
          </w:p>
        </w:tc>
      </w:tr>
      <w:tr w:rsidR="004D0D34" w:rsidRPr="006D5248" w14:paraId="0F43F2CE" w14:textId="77777777" w:rsidTr="004D0D34">
        <w:trPr>
          <w:jc w:val="center"/>
        </w:trPr>
        <w:tc>
          <w:tcPr>
            <w:tcW w:w="4030" w:type="dxa"/>
          </w:tcPr>
          <w:p w14:paraId="07DD2682" w14:textId="77777777" w:rsidR="004D0D34" w:rsidRPr="0001208A" w:rsidRDefault="004D0D34" w:rsidP="00E71696">
            <w:pPr>
              <w:rPr>
                <w:b/>
              </w:rPr>
            </w:pPr>
            <w:r w:rsidRPr="0001208A">
              <w:rPr>
                <w:b/>
              </w:rPr>
              <w:t>Total Trade and Other Payables</w:t>
            </w:r>
          </w:p>
        </w:tc>
        <w:tc>
          <w:tcPr>
            <w:tcW w:w="992" w:type="dxa"/>
          </w:tcPr>
          <w:p w14:paraId="05A18FB9" w14:textId="77777777" w:rsidR="004D0D34" w:rsidRPr="00522D47" w:rsidRDefault="004D0D34" w:rsidP="00E71696">
            <w:r>
              <w:t>248,555</w:t>
            </w:r>
          </w:p>
        </w:tc>
        <w:tc>
          <w:tcPr>
            <w:tcW w:w="1418" w:type="dxa"/>
          </w:tcPr>
          <w:p w14:paraId="51402FBF" w14:textId="77777777" w:rsidR="004D0D34" w:rsidRPr="00522D47" w:rsidRDefault="004D0D34" w:rsidP="00E71696">
            <w:r w:rsidRPr="00522D47">
              <w:t>143,152</w:t>
            </w:r>
          </w:p>
        </w:tc>
        <w:tc>
          <w:tcPr>
            <w:tcW w:w="1288" w:type="dxa"/>
          </w:tcPr>
          <w:p w14:paraId="4BD9117E" w14:textId="77777777" w:rsidR="004D0D34" w:rsidRPr="00522D47" w:rsidRDefault="004D0D34" w:rsidP="00E71696"/>
        </w:tc>
      </w:tr>
    </w:tbl>
    <w:p w14:paraId="3CC68B86" w14:textId="77777777" w:rsidR="00D2400B" w:rsidRPr="0001208A" w:rsidRDefault="00D2400B" w:rsidP="00E71696">
      <w:pPr>
        <w:rPr>
          <w:b/>
        </w:rPr>
      </w:pPr>
      <w:r w:rsidRPr="0001208A">
        <w:rPr>
          <w:b/>
        </w:rPr>
        <w:t>Financial Risk Management Policies</w:t>
      </w:r>
    </w:p>
    <w:p w14:paraId="27E3607C" w14:textId="77777777" w:rsidR="00D2400B" w:rsidRDefault="00D2400B" w:rsidP="00E71696">
      <w:r w:rsidRPr="00117C87">
        <w:t>Consisting of senior committee members, the finance committee’s overall risk management strategy seeks to assist the company in meeting its financ</w:t>
      </w:r>
      <w:r>
        <w:t xml:space="preserve">ial targets, whilst minimizing </w:t>
      </w:r>
      <w:r w:rsidRPr="00117C87">
        <w:t>potential adverse effects on financial performance. Risk ma</w:t>
      </w:r>
      <w:r>
        <w:t xml:space="preserve">nagement policies are approved </w:t>
      </w:r>
      <w:r w:rsidRPr="00117C87">
        <w:t>and reviewed by the finance committee on regular basis. Thes</w:t>
      </w:r>
      <w:r>
        <w:t xml:space="preserve">e include credit risk policies </w:t>
      </w:r>
      <w:r w:rsidRPr="00117C87">
        <w:t>and</w:t>
      </w:r>
      <w:r w:rsidR="00467844">
        <w:t xml:space="preserve"> future cash flow requirements.</w:t>
      </w:r>
    </w:p>
    <w:p w14:paraId="34D5E387" w14:textId="77777777" w:rsidR="00603B49" w:rsidRDefault="00603B49" w:rsidP="0001208A">
      <w:pPr>
        <w:jc w:val="center"/>
        <w:rPr>
          <w:i/>
        </w:rPr>
      </w:pPr>
    </w:p>
    <w:p w14:paraId="7457BD8B" w14:textId="650F65A5" w:rsidR="0001208A" w:rsidRPr="00117C87" w:rsidRDefault="0001208A" w:rsidP="0001208A">
      <w:pPr>
        <w:jc w:val="center"/>
      </w:pPr>
      <w:r w:rsidRPr="0001208A">
        <w:rPr>
          <w:i/>
        </w:rPr>
        <w:t>These notes form part of the financial statements</w:t>
      </w:r>
    </w:p>
    <w:p w14:paraId="2C00FEF8" w14:textId="77777777" w:rsidR="0001208A" w:rsidRDefault="0001208A">
      <w:pPr>
        <w:spacing w:after="200"/>
        <w:ind w:right="0"/>
        <w:rPr>
          <w:b/>
        </w:rPr>
      </w:pPr>
      <w:r>
        <w:rPr>
          <w:b/>
        </w:rPr>
        <w:br w:type="page"/>
      </w:r>
    </w:p>
    <w:p w14:paraId="58F92F7D" w14:textId="39667E1D" w:rsidR="00D2400B" w:rsidRPr="0001208A" w:rsidRDefault="00D2400B" w:rsidP="00E71696">
      <w:pPr>
        <w:rPr>
          <w:b/>
        </w:rPr>
      </w:pPr>
      <w:r w:rsidRPr="0001208A">
        <w:rPr>
          <w:b/>
        </w:rPr>
        <w:lastRenderedPageBreak/>
        <w:t>Specific Financial Risk Exposures and Management</w:t>
      </w:r>
    </w:p>
    <w:p w14:paraId="6A9FC252" w14:textId="77777777" w:rsidR="00D2400B" w:rsidRDefault="00D2400B" w:rsidP="00E71696">
      <w:r w:rsidRPr="00467844">
        <w:t>The main risks the company is exposed to through its financial instruments are interest rate risk, liquidity risk, credit risk and equity price risk.</w:t>
      </w:r>
    </w:p>
    <w:p w14:paraId="28ED59EA" w14:textId="5E1A4421" w:rsidR="0001208A" w:rsidRDefault="0001208A" w:rsidP="0001208A">
      <w:pPr>
        <w:pStyle w:val="ListParagraph"/>
        <w:numPr>
          <w:ilvl w:val="0"/>
          <w:numId w:val="47"/>
        </w:numPr>
        <w:ind w:left="709" w:hanging="567"/>
      </w:pPr>
      <w:r w:rsidRPr="0001208A">
        <w:rPr>
          <w:b/>
        </w:rPr>
        <w:t>Interest rate risk</w:t>
      </w:r>
      <w:r>
        <w:t xml:space="preserve"> </w:t>
      </w:r>
      <w:r>
        <w:br/>
        <w:t>The entity is not exposed to interest rate risk in relation to debt. It is only exposed to fluctuation on interest rates on interest bearing assets.</w:t>
      </w:r>
    </w:p>
    <w:p w14:paraId="58F1A114" w14:textId="3F954830" w:rsidR="0001208A" w:rsidRDefault="0001208A" w:rsidP="0001208A">
      <w:pPr>
        <w:pStyle w:val="ListParagraph"/>
        <w:numPr>
          <w:ilvl w:val="0"/>
          <w:numId w:val="47"/>
        </w:numPr>
        <w:ind w:left="709" w:hanging="567"/>
      </w:pPr>
      <w:r w:rsidRPr="0001208A">
        <w:rPr>
          <w:b/>
        </w:rPr>
        <w:t>Foreign currency risk</w:t>
      </w:r>
      <w:r>
        <w:br/>
        <w:t>The entity is not exposed to fluctuations in foreign currencies.</w:t>
      </w:r>
    </w:p>
    <w:p w14:paraId="21CE24CB" w14:textId="4B8C2894" w:rsidR="0001208A" w:rsidRDefault="0001208A" w:rsidP="0001208A">
      <w:pPr>
        <w:pStyle w:val="ListParagraph"/>
        <w:numPr>
          <w:ilvl w:val="0"/>
          <w:numId w:val="47"/>
        </w:numPr>
        <w:ind w:left="709" w:hanging="567"/>
      </w:pPr>
      <w:r w:rsidRPr="0001208A">
        <w:rPr>
          <w:b/>
        </w:rPr>
        <w:t>Liquidity risk</w:t>
      </w:r>
      <w:r>
        <w:br/>
        <w:t xml:space="preserve">The entity manages liquidity risk by monitoring forecast cash flows and ensuring that adequate liquid cash assets are maintained. </w:t>
      </w:r>
    </w:p>
    <w:p w14:paraId="7BEF7386" w14:textId="301CB486" w:rsidR="0001208A" w:rsidRDefault="0001208A" w:rsidP="0001208A">
      <w:pPr>
        <w:pStyle w:val="ListParagraph"/>
        <w:numPr>
          <w:ilvl w:val="0"/>
          <w:numId w:val="47"/>
        </w:numPr>
        <w:ind w:left="709" w:hanging="567"/>
      </w:pPr>
      <w:r w:rsidRPr="0001208A">
        <w:rPr>
          <w:b/>
        </w:rPr>
        <w:t>Credit risk</w:t>
      </w:r>
      <w:r>
        <w:br/>
        <w:t>The entity is not exposed to credit risk</w:t>
      </w:r>
    </w:p>
    <w:p w14:paraId="4477AED0" w14:textId="377B5AFE" w:rsidR="0001208A" w:rsidRDefault="0001208A" w:rsidP="0001208A">
      <w:pPr>
        <w:pStyle w:val="ListParagraph"/>
        <w:numPr>
          <w:ilvl w:val="0"/>
          <w:numId w:val="47"/>
        </w:numPr>
        <w:ind w:left="709" w:hanging="567"/>
      </w:pPr>
      <w:r w:rsidRPr="0001208A">
        <w:rPr>
          <w:b/>
        </w:rPr>
        <w:t>Price risk</w:t>
      </w:r>
      <w:r>
        <w:br/>
        <w:t xml:space="preserve">The </w:t>
      </w:r>
      <w:proofErr w:type="gramStart"/>
      <w:r>
        <w:t>company</w:t>
      </w:r>
      <w:proofErr w:type="gramEnd"/>
      <w:r>
        <w:t xml:space="preserve"> is exposed to securities price risk on investments held for trading or for medium to longer terms. Such risk is managed through diversification of investments across a range of managed asset classes such as listed share and unit trusts, other managed funds.</w:t>
      </w:r>
    </w:p>
    <w:p w14:paraId="52172DE2" w14:textId="0BB25979" w:rsidR="0001208A" w:rsidRPr="00467844" w:rsidRDefault="0001208A" w:rsidP="0001208A">
      <w:pPr>
        <w:pStyle w:val="ListParagraph"/>
        <w:numPr>
          <w:ilvl w:val="0"/>
          <w:numId w:val="47"/>
        </w:numPr>
        <w:ind w:left="709" w:hanging="567"/>
      </w:pPr>
      <w:r w:rsidRPr="0001208A">
        <w:rPr>
          <w:b/>
        </w:rPr>
        <w:t>Net Fair Values</w:t>
      </w:r>
      <w:r>
        <w:br/>
        <w:t>Fair value estimation.</w:t>
      </w:r>
    </w:p>
    <w:p w14:paraId="6CA2BF22" w14:textId="77777777" w:rsidR="00D2400B" w:rsidRPr="00117C87" w:rsidRDefault="00D2400B" w:rsidP="00E71696">
      <w:r w:rsidRPr="00117C87">
        <w:t xml:space="preserve">The fair values of financial assets and financial liabilities are equal </w:t>
      </w:r>
      <w:r>
        <w:t xml:space="preserve">to their carrying value in the </w:t>
      </w:r>
      <w:r w:rsidRPr="00117C87">
        <w:t>balance sheet.</w:t>
      </w:r>
    </w:p>
    <w:p w14:paraId="3A8B709D" w14:textId="77777777" w:rsidR="00D2400B" w:rsidRPr="00117C87" w:rsidRDefault="00D2400B" w:rsidP="00E71696">
      <w:pPr>
        <w:rPr>
          <w:highlight w:val="yellow"/>
        </w:rPr>
      </w:pPr>
      <w:r w:rsidRPr="00117C87">
        <w:t>The fair values have been determined on the following methodologies:</w:t>
      </w:r>
    </w:p>
    <w:p w14:paraId="126C1B38" w14:textId="77777777" w:rsidR="00D2400B" w:rsidRPr="00467844" w:rsidRDefault="00D2400B" w:rsidP="00E71696">
      <w:pPr>
        <w:pStyle w:val="ListParagraph"/>
        <w:numPr>
          <w:ilvl w:val="0"/>
          <w:numId w:val="27"/>
        </w:numPr>
        <w:rPr>
          <w:sz w:val="24"/>
          <w:szCs w:val="24"/>
        </w:rPr>
      </w:pPr>
      <w:r w:rsidRPr="000731E9">
        <w:t xml:space="preserve">Cash and cash equivalents, trade and other receivables and trade and other payables are short term instruments in nature whose carrying value is equivalent to fair value. Trade and other </w:t>
      </w:r>
      <w:r>
        <w:t xml:space="preserve">payables </w:t>
      </w:r>
      <w:r w:rsidRPr="000731E9">
        <w:t>exclude amounts provided for relating to annual leave which is not considered a financial instrument.</w:t>
      </w:r>
    </w:p>
    <w:p w14:paraId="585CE133" w14:textId="77777777" w:rsidR="00D2400B" w:rsidRPr="00F02A59" w:rsidRDefault="00D2400B" w:rsidP="00E71696">
      <w:pPr>
        <w:pStyle w:val="ListParagraph"/>
        <w:numPr>
          <w:ilvl w:val="0"/>
          <w:numId w:val="27"/>
        </w:numPr>
      </w:pPr>
      <w:r w:rsidRPr="00F02A59">
        <w:t>For listed available-for-sale and held-for-trading financial assets, closing quoted bid prices at reporting date are used.</w:t>
      </w:r>
    </w:p>
    <w:p w14:paraId="7E3841A8" w14:textId="77777777" w:rsidR="00D2400B" w:rsidRPr="00F02A59" w:rsidRDefault="00D2400B" w:rsidP="00E71696">
      <w:pPr>
        <w:pStyle w:val="ListParagraph"/>
        <w:numPr>
          <w:ilvl w:val="0"/>
          <w:numId w:val="27"/>
        </w:numPr>
      </w:pPr>
      <w:r w:rsidRPr="00F02A59">
        <w:t>Fair values of held-to-maturity investments are based on quoted market prices at reporting date.</w:t>
      </w:r>
    </w:p>
    <w:p w14:paraId="0C86746F" w14:textId="77777777" w:rsidR="00603B49" w:rsidRDefault="00603B49" w:rsidP="00196B16">
      <w:pPr>
        <w:spacing w:after="200"/>
        <w:ind w:right="0"/>
        <w:jc w:val="center"/>
        <w:rPr>
          <w:i/>
        </w:rPr>
      </w:pPr>
    </w:p>
    <w:p w14:paraId="061454FE" w14:textId="76F6FFE8" w:rsidR="00196B16" w:rsidRPr="00196B16" w:rsidRDefault="00196B16" w:rsidP="00196B16">
      <w:pPr>
        <w:spacing w:after="200"/>
        <w:ind w:right="0"/>
        <w:jc w:val="center"/>
        <w:rPr>
          <w:b/>
          <w:i/>
        </w:rPr>
      </w:pPr>
      <w:r w:rsidRPr="00196B16">
        <w:rPr>
          <w:i/>
        </w:rPr>
        <w:t>These notes form part of the financial statements</w:t>
      </w:r>
    </w:p>
    <w:p w14:paraId="12C63433" w14:textId="77777777" w:rsidR="00196B16" w:rsidRDefault="00196B16">
      <w:pPr>
        <w:spacing w:after="200"/>
        <w:ind w:right="0"/>
        <w:rPr>
          <w:b/>
        </w:rPr>
      </w:pPr>
      <w:r>
        <w:rPr>
          <w:b/>
        </w:rPr>
        <w:br w:type="page"/>
      </w:r>
    </w:p>
    <w:p w14:paraId="5F73F023" w14:textId="112D4419" w:rsidR="008F4A4A" w:rsidRPr="00FC5AAD" w:rsidRDefault="00D2400B" w:rsidP="00E71696">
      <w:r w:rsidRPr="0001208A">
        <w:rPr>
          <w:b/>
        </w:rPr>
        <w:lastRenderedPageBreak/>
        <w:t>Sensitivity analysis</w:t>
      </w:r>
      <w:r w:rsidR="0001208A">
        <w:rPr>
          <w:b/>
        </w:rPr>
        <w:t>:</w:t>
      </w:r>
      <w:r w:rsidR="0001208A">
        <w:rPr>
          <w:b/>
        </w:rPr>
        <w:br/>
      </w:r>
      <w:r w:rsidRPr="00796E81">
        <w:t>The following table illustrates sensitivities to the company’s exposures to changes in interest rates and equity prices. The table indicates the impact on how profit and equity values reported at balance date would have been affected by changes in the relevant risk variable that management considers to be reasonably possible. These sensitivities assume that the movement in a particular variable is</w:t>
      </w:r>
      <w:r>
        <w:t xml:space="preserve"> </w:t>
      </w:r>
      <w:r w:rsidRPr="00796E81">
        <w:t>independent of other variables.</w:t>
      </w:r>
    </w:p>
    <w:tbl>
      <w:tblPr>
        <w:tblStyle w:val="TableGrid"/>
        <w:tblW w:w="91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nsitivity analysis"/>
      </w:tblPr>
      <w:tblGrid>
        <w:gridCol w:w="5508"/>
        <w:gridCol w:w="1910"/>
        <w:gridCol w:w="1767"/>
      </w:tblGrid>
      <w:tr w:rsidR="00D2400B" w:rsidRPr="009B1FC1" w14:paraId="3FE1DAF0" w14:textId="77777777" w:rsidTr="002A1136">
        <w:trPr>
          <w:cnfStyle w:val="100000000000" w:firstRow="1" w:lastRow="0" w:firstColumn="0" w:lastColumn="0" w:oddVBand="0" w:evenVBand="0" w:oddHBand="0" w:evenHBand="0" w:firstRowFirstColumn="0" w:firstRowLastColumn="0" w:lastRowFirstColumn="0" w:lastRowLastColumn="0"/>
          <w:tblHeader/>
          <w:jc w:val="center"/>
        </w:trPr>
        <w:tc>
          <w:tcPr>
            <w:tcW w:w="5508" w:type="dxa"/>
            <w:vAlign w:val="bottom"/>
          </w:tcPr>
          <w:p w14:paraId="7DD05178" w14:textId="77777777" w:rsidR="00D2400B" w:rsidRPr="00522D47" w:rsidRDefault="00D2400B" w:rsidP="00E71696"/>
        </w:tc>
        <w:tc>
          <w:tcPr>
            <w:tcW w:w="1910" w:type="dxa"/>
            <w:vAlign w:val="bottom"/>
          </w:tcPr>
          <w:p w14:paraId="3BD268DF" w14:textId="77777777" w:rsidR="00D2400B" w:rsidRPr="00522D47" w:rsidRDefault="00D2400B" w:rsidP="00E71696">
            <w:r w:rsidRPr="00522D47">
              <w:t>Profit</w:t>
            </w:r>
            <w:r w:rsidR="00467844" w:rsidRPr="00522D47">
              <w:br/>
              <w:t>$</w:t>
            </w:r>
          </w:p>
        </w:tc>
        <w:tc>
          <w:tcPr>
            <w:tcW w:w="1767" w:type="dxa"/>
            <w:vAlign w:val="bottom"/>
          </w:tcPr>
          <w:p w14:paraId="120E0BA8" w14:textId="77777777" w:rsidR="00D2400B" w:rsidRPr="00522D47" w:rsidRDefault="00D2400B" w:rsidP="00E71696">
            <w:r w:rsidRPr="00522D47">
              <w:t>Equity</w:t>
            </w:r>
            <w:r w:rsidR="00467844" w:rsidRPr="00522D47">
              <w:br/>
              <w:t>$</w:t>
            </w:r>
          </w:p>
        </w:tc>
      </w:tr>
      <w:tr w:rsidR="00D2400B" w:rsidRPr="009B1FC1" w14:paraId="7595C452" w14:textId="77777777" w:rsidTr="002A1136">
        <w:trPr>
          <w:jc w:val="center"/>
        </w:trPr>
        <w:tc>
          <w:tcPr>
            <w:tcW w:w="5508" w:type="dxa"/>
            <w:vAlign w:val="bottom"/>
          </w:tcPr>
          <w:p w14:paraId="5698F7C9" w14:textId="77777777" w:rsidR="00D2400B" w:rsidRPr="00522D47" w:rsidRDefault="000C0AED" w:rsidP="00E71696">
            <w:r w:rsidRPr="00522D47">
              <w:t xml:space="preserve">Year ended 30 June </w:t>
            </w:r>
            <w:r w:rsidR="00EF1D9F">
              <w:t>2016</w:t>
            </w:r>
          </w:p>
        </w:tc>
        <w:tc>
          <w:tcPr>
            <w:tcW w:w="1910" w:type="dxa"/>
            <w:vAlign w:val="bottom"/>
          </w:tcPr>
          <w:p w14:paraId="4566C89D" w14:textId="77777777" w:rsidR="00D2400B" w:rsidRPr="00522D47" w:rsidRDefault="00D2400B" w:rsidP="00E71696"/>
        </w:tc>
        <w:tc>
          <w:tcPr>
            <w:tcW w:w="1767" w:type="dxa"/>
            <w:vAlign w:val="bottom"/>
          </w:tcPr>
          <w:p w14:paraId="132B0CC6" w14:textId="77777777" w:rsidR="00D2400B" w:rsidRPr="00522D47" w:rsidRDefault="00D2400B" w:rsidP="00E71696"/>
        </w:tc>
      </w:tr>
      <w:tr w:rsidR="00D2400B" w:rsidRPr="009B1FC1" w14:paraId="4203AD68" w14:textId="77777777" w:rsidTr="002A1136">
        <w:trPr>
          <w:jc w:val="center"/>
        </w:trPr>
        <w:tc>
          <w:tcPr>
            <w:tcW w:w="5508" w:type="dxa"/>
            <w:vAlign w:val="bottom"/>
          </w:tcPr>
          <w:p w14:paraId="0D996711" w14:textId="77777777" w:rsidR="00D2400B" w:rsidRPr="00522D47" w:rsidRDefault="00D2400B" w:rsidP="00E71696">
            <w:r w:rsidRPr="00522D47">
              <w:t>+/- 2% in interest rate</w:t>
            </w:r>
          </w:p>
        </w:tc>
        <w:tc>
          <w:tcPr>
            <w:tcW w:w="1910" w:type="dxa"/>
            <w:vAlign w:val="bottom"/>
          </w:tcPr>
          <w:p w14:paraId="5113B298" w14:textId="77777777" w:rsidR="00D2400B" w:rsidRPr="00522D47" w:rsidRDefault="001928A7" w:rsidP="00E71696">
            <w:r>
              <w:t>20,758</w:t>
            </w:r>
          </w:p>
        </w:tc>
        <w:tc>
          <w:tcPr>
            <w:tcW w:w="1767" w:type="dxa"/>
            <w:vAlign w:val="bottom"/>
          </w:tcPr>
          <w:p w14:paraId="7BB74CA1" w14:textId="77777777" w:rsidR="00D2400B" w:rsidRPr="00522D47" w:rsidRDefault="001928A7" w:rsidP="00E71696">
            <w:r>
              <w:t>20,758</w:t>
            </w:r>
          </w:p>
        </w:tc>
      </w:tr>
      <w:tr w:rsidR="00D2400B" w:rsidRPr="009B1FC1" w14:paraId="480D4321" w14:textId="77777777" w:rsidTr="002A1136">
        <w:trPr>
          <w:jc w:val="center"/>
        </w:trPr>
        <w:tc>
          <w:tcPr>
            <w:tcW w:w="5508" w:type="dxa"/>
            <w:vAlign w:val="bottom"/>
          </w:tcPr>
          <w:p w14:paraId="22203E6F" w14:textId="77777777" w:rsidR="00D2400B" w:rsidRPr="00522D47" w:rsidRDefault="00D2400B" w:rsidP="00E71696">
            <w:r w:rsidRPr="00522D47">
              <w:t>+/- 10% in listed investments</w:t>
            </w:r>
          </w:p>
        </w:tc>
        <w:tc>
          <w:tcPr>
            <w:tcW w:w="1910" w:type="dxa"/>
            <w:vAlign w:val="bottom"/>
          </w:tcPr>
          <w:p w14:paraId="4A07DF06" w14:textId="77777777" w:rsidR="00D2400B" w:rsidRPr="00522D47" w:rsidRDefault="001928A7" w:rsidP="00E71696">
            <w:r>
              <w:t>369,070</w:t>
            </w:r>
          </w:p>
        </w:tc>
        <w:tc>
          <w:tcPr>
            <w:tcW w:w="1767" w:type="dxa"/>
            <w:vAlign w:val="bottom"/>
          </w:tcPr>
          <w:p w14:paraId="2B03B396" w14:textId="77777777" w:rsidR="00D2400B" w:rsidRPr="00522D47" w:rsidRDefault="001928A7" w:rsidP="00E71696">
            <w:r>
              <w:t>369,070</w:t>
            </w:r>
          </w:p>
        </w:tc>
      </w:tr>
      <w:tr w:rsidR="00D2400B" w:rsidRPr="009B1FC1" w14:paraId="032B55FC" w14:textId="77777777" w:rsidTr="002A1136">
        <w:trPr>
          <w:jc w:val="center"/>
        </w:trPr>
        <w:tc>
          <w:tcPr>
            <w:tcW w:w="5508" w:type="dxa"/>
            <w:vAlign w:val="bottom"/>
          </w:tcPr>
          <w:p w14:paraId="3FD52753" w14:textId="77777777" w:rsidR="00D2400B" w:rsidRPr="00467844" w:rsidRDefault="000C0AED" w:rsidP="00E71696">
            <w:r>
              <w:t xml:space="preserve">Year ended 30 June </w:t>
            </w:r>
            <w:r w:rsidR="00EF1D9F">
              <w:t>2015</w:t>
            </w:r>
          </w:p>
        </w:tc>
        <w:tc>
          <w:tcPr>
            <w:tcW w:w="1910" w:type="dxa"/>
            <w:vAlign w:val="bottom"/>
          </w:tcPr>
          <w:p w14:paraId="6F5268ED" w14:textId="77777777" w:rsidR="00D2400B" w:rsidRPr="00B01C65" w:rsidRDefault="00D2400B" w:rsidP="00E71696"/>
        </w:tc>
        <w:tc>
          <w:tcPr>
            <w:tcW w:w="1767" w:type="dxa"/>
            <w:vAlign w:val="bottom"/>
          </w:tcPr>
          <w:p w14:paraId="47903AC4" w14:textId="77777777" w:rsidR="00D2400B" w:rsidRPr="00B01C65" w:rsidRDefault="00D2400B" w:rsidP="00E71696"/>
        </w:tc>
      </w:tr>
      <w:tr w:rsidR="00AB6E62" w:rsidRPr="009B1FC1" w14:paraId="5BEB4BD9" w14:textId="77777777" w:rsidTr="002A1136">
        <w:trPr>
          <w:jc w:val="center"/>
        </w:trPr>
        <w:tc>
          <w:tcPr>
            <w:tcW w:w="5508" w:type="dxa"/>
            <w:vAlign w:val="bottom"/>
          </w:tcPr>
          <w:p w14:paraId="308E63CA" w14:textId="77777777" w:rsidR="00AB6E62" w:rsidRPr="00B01C65" w:rsidRDefault="00AB6E62" w:rsidP="00E71696">
            <w:r w:rsidRPr="00B01C65">
              <w:t>+/- 2% in interest rate</w:t>
            </w:r>
          </w:p>
        </w:tc>
        <w:tc>
          <w:tcPr>
            <w:tcW w:w="1910" w:type="dxa"/>
            <w:vAlign w:val="bottom"/>
          </w:tcPr>
          <w:p w14:paraId="6196FB8C" w14:textId="77777777" w:rsidR="00AB6E62" w:rsidRPr="00522D47" w:rsidRDefault="00AB6E62" w:rsidP="00E71696">
            <w:r w:rsidRPr="00522D47">
              <w:t>21,532</w:t>
            </w:r>
          </w:p>
        </w:tc>
        <w:tc>
          <w:tcPr>
            <w:tcW w:w="1767" w:type="dxa"/>
            <w:vAlign w:val="bottom"/>
          </w:tcPr>
          <w:p w14:paraId="783D1F6B" w14:textId="77777777" w:rsidR="00AB6E62" w:rsidRPr="00522D47" w:rsidRDefault="00AB6E62" w:rsidP="00E71696">
            <w:r w:rsidRPr="00522D47">
              <w:t>21,532</w:t>
            </w:r>
          </w:p>
        </w:tc>
      </w:tr>
      <w:tr w:rsidR="00AB6E62" w:rsidRPr="009B1FC1" w14:paraId="170C48D9" w14:textId="77777777" w:rsidTr="002A1136">
        <w:trPr>
          <w:jc w:val="center"/>
        </w:trPr>
        <w:tc>
          <w:tcPr>
            <w:tcW w:w="5508" w:type="dxa"/>
            <w:vAlign w:val="bottom"/>
          </w:tcPr>
          <w:p w14:paraId="6CC9A6F6" w14:textId="77777777" w:rsidR="00AB6E62" w:rsidRPr="00B01C65" w:rsidRDefault="00AB6E62" w:rsidP="00E71696">
            <w:r w:rsidRPr="00B01C65">
              <w:t>+/- 10% in listed investments</w:t>
            </w:r>
          </w:p>
        </w:tc>
        <w:tc>
          <w:tcPr>
            <w:tcW w:w="1910" w:type="dxa"/>
            <w:tcBorders>
              <w:bottom w:val="single" w:sz="4" w:space="0" w:color="auto"/>
            </w:tcBorders>
            <w:vAlign w:val="bottom"/>
          </w:tcPr>
          <w:p w14:paraId="0F171120" w14:textId="77777777" w:rsidR="00AB6E62" w:rsidRPr="00522D47" w:rsidRDefault="00AB6E62" w:rsidP="00E71696">
            <w:r w:rsidRPr="00522D47">
              <w:t>461,880</w:t>
            </w:r>
          </w:p>
        </w:tc>
        <w:tc>
          <w:tcPr>
            <w:tcW w:w="1767" w:type="dxa"/>
            <w:tcBorders>
              <w:bottom w:val="single" w:sz="4" w:space="0" w:color="auto"/>
            </w:tcBorders>
            <w:vAlign w:val="bottom"/>
          </w:tcPr>
          <w:p w14:paraId="02F89F84" w14:textId="77777777" w:rsidR="00AB6E62" w:rsidRPr="00522D47" w:rsidRDefault="00AB6E62" w:rsidP="00E71696">
            <w:r w:rsidRPr="00522D47">
              <w:t>461,880</w:t>
            </w:r>
          </w:p>
        </w:tc>
      </w:tr>
    </w:tbl>
    <w:p w14:paraId="4D5361A9" w14:textId="77777777" w:rsidR="00D2400B" w:rsidRPr="00796E81" w:rsidRDefault="00D2400B" w:rsidP="00E71696"/>
    <w:p w14:paraId="12D65D0D" w14:textId="77777777" w:rsidR="00D2400B" w:rsidRPr="007C6C0F" w:rsidRDefault="00D2400B" w:rsidP="00E71696">
      <w:pPr>
        <w:rPr>
          <w:highlight w:val="yellow"/>
        </w:rPr>
      </w:pPr>
      <w:r w:rsidRPr="007C6C0F">
        <w:t>This sensitivity analysis has been performed on the assumption that all other variables remain unchanged.</w:t>
      </w:r>
    </w:p>
    <w:p w14:paraId="44BC683B" w14:textId="77777777" w:rsidR="00D2400B" w:rsidRPr="00F104FF" w:rsidRDefault="00EC6D27" w:rsidP="005132DB">
      <w:pPr>
        <w:pStyle w:val="Heading2"/>
      </w:pPr>
      <w:r>
        <w:t xml:space="preserve">15. </w:t>
      </w:r>
      <w:r w:rsidR="007C6C0F" w:rsidRPr="00F104FF">
        <w:t>Capital management</w:t>
      </w:r>
    </w:p>
    <w:p w14:paraId="0AF7753B" w14:textId="77777777" w:rsidR="00D2400B" w:rsidRPr="00854907" w:rsidRDefault="00D2400B" w:rsidP="00E71696">
      <w:r w:rsidRPr="00854907">
        <w:t>Management controls the capital of the entity to ensure that adequate cash flows are generated to fund its</w:t>
      </w:r>
      <w:r>
        <w:t xml:space="preserve"> </w:t>
      </w:r>
      <w:r w:rsidRPr="00854907">
        <w:t>ongoing programs and that returns from investments are maximized. The finance committee ensures that</w:t>
      </w:r>
      <w:r w:rsidRPr="00854907">
        <w:tab/>
        <w:t>overall risk management strategy is in line with this objective.</w:t>
      </w:r>
    </w:p>
    <w:p w14:paraId="52590B16" w14:textId="77777777" w:rsidR="00D2400B" w:rsidRPr="00854907" w:rsidRDefault="00D2400B" w:rsidP="00E71696">
      <w:r w:rsidRPr="00854907">
        <w:t>The finance committee operates under policies approved by the Board</w:t>
      </w:r>
      <w:r>
        <w:t xml:space="preserve"> of Directors. Risk management </w:t>
      </w:r>
      <w:r w:rsidRPr="00854907">
        <w:t>policies are approved and reviewed by the Board on a regular basis.</w:t>
      </w:r>
    </w:p>
    <w:p w14:paraId="3D0B1CBD" w14:textId="77777777" w:rsidR="00D2400B" w:rsidRPr="00854907" w:rsidRDefault="00D2400B" w:rsidP="00E71696">
      <w:r w:rsidRPr="00854907">
        <w:t>The entity’s capital consists of cash and cash equivalent assets, supported by financial assets.</w:t>
      </w:r>
    </w:p>
    <w:p w14:paraId="6E5A5F04" w14:textId="77777777" w:rsidR="00D2400B" w:rsidRPr="00854907" w:rsidRDefault="00D2400B" w:rsidP="00E71696">
      <w:r w:rsidRPr="00854907">
        <w:t>Management effectively manages the entity’s capital by assessing the entity’s</w:t>
      </w:r>
      <w:r>
        <w:t xml:space="preserve"> financial risks and responding </w:t>
      </w:r>
      <w:r w:rsidRPr="00854907">
        <w:t>to changes in</w:t>
      </w:r>
      <w:r>
        <w:t xml:space="preserve"> these risks and in the market.</w:t>
      </w:r>
    </w:p>
    <w:p w14:paraId="1BFC0CEC" w14:textId="77777777" w:rsidR="00D2400B" w:rsidRPr="00854907" w:rsidRDefault="00D2400B" w:rsidP="00E71696">
      <w:r w:rsidRPr="00854907">
        <w:t xml:space="preserve">There have been no changes to the strategy adopted by management to control </w:t>
      </w:r>
      <w:r>
        <w:t xml:space="preserve">the capital of the entity since </w:t>
      </w:r>
      <w:r w:rsidRPr="00854907">
        <w:t>the previous year. The entity does not have any debt and debt facilities.</w:t>
      </w:r>
    </w:p>
    <w:p w14:paraId="1D2D7741" w14:textId="77777777" w:rsidR="00603B49" w:rsidRDefault="00603B49" w:rsidP="00216DF8">
      <w:pPr>
        <w:jc w:val="center"/>
        <w:rPr>
          <w:i/>
        </w:rPr>
      </w:pPr>
    </w:p>
    <w:p w14:paraId="2F8885F0" w14:textId="77777777" w:rsidR="00D2400B" w:rsidRPr="00216DF8" w:rsidRDefault="00D2400B" w:rsidP="00216DF8">
      <w:pPr>
        <w:jc w:val="center"/>
        <w:rPr>
          <w:rFonts w:ascii="Times New Roman" w:hAnsi="Times New Roman"/>
          <w:i/>
          <w:iCs/>
          <w:color w:val="000000"/>
          <w:sz w:val="16"/>
          <w:szCs w:val="16"/>
        </w:rPr>
      </w:pPr>
      <w:r w:rsidRPr="00216DF8">
        <w:rPr>
          <w:i/>
        </w:rPr>
        <w:t>These notes form part of the financial statements</w:t>
      </w:r>
      <w:r w:rsidRPr="00216DF8">
        <w:rPr>
          <w:rFonts w:ascii="Times New Roman" w:hAnsi="Times New Roman"/>
          <w:i/>
          <w:iCs/>
          <w:color w:val="000000"/>
          <w:sz w:val="16"/>
          <w:szCs w:val="16"/>
        </w:rPr>
        <w:br w:type="page"/>
      </w:r>
    </w:p>
    <w:p w14:paraId="250AF092" w14:textId="77777777" w:rsidR="00D2400B" w:rsidRPr="00FC5AAD" w:rsidRDefault="00EC6D27" w:rsidP="005132DB">
      <w:pPr>
        <w:pStyle w:val="Heading2"/>
      </w:pPr>
      <w:r>
        <w:lastRenderedPageBreak/>
        <w:t xml:space="preserve">16. </w:t>
      </w:r>
      <w:r w:rsidR="00D2400B" w:rsidRPr="00FC5AAD">
        <w:t xml:space="preserve">Operating Lease Commitments </w:t>
      </w:r>
    </w:p>
    <w:p w14:paraId="2FBBD18E" w14:textId="77777777" w:rsidR="00D2400B" w:rsidRPr="004D2CB8" w:rsidRDefault="00D2400B" w:rsidP="00E71696">
      <w:r w:rsidRPr="004D2CB8">
        <w:t>Non-cancellable operating lease contracted for not capitalised in the financial statements</w:t>
      </w:r>
    </w:p>
    <w:p w14:paraId="5362F71F" w14:textId="77777777" w:rsidR="00D2400B" w:rsidRPr="00A46163" w:rsidRDefault="00D2400B" w:rsidP="00E71696">
      <w:r w:rsidRPr="00A46163">
        <w:t xml:space="preserve">The property lease commitment is a non-cancellable sub lease under the head lease for the office contracted for but not capitalised in the financial statements with a two-year term expiring in 31 January </w:t>
      </w:r>
      <w:r w:rsidR="00EF1D9F">
        <w:t>201</w:t>
      </w:r>
      <w:r w:rsidR="00AB6E62">
        <w:t>5</w:t>
      </w:r>
      <w:r w:rsidRPr="00A46163">
        <w:t>. There is a 3- year option on the lease.</w:t>
      </w:r>
    </w:p>
    <w:p w14:paraId="16AF457E" w14:textId="77777777" w:rsidR="003A5A64" w:rsidRPr="004D2CB8" w:rsidRDefault="003A5A64" w:rsidP="00E71696">
      <w:r w:rsidRPr="00A46163">
        <w:t xml:space="preserve">The lease expired on 31 January </w:t>
      </w:r>
      <w:r w:rsidR="00EF1D9F">
        <w:t>201</w:t>
      </w:r>
      <w:r w:rsidR="00AB6E62">
        <w:t>5</w:t>
      </w:r>
      <w:r w:rsidRPr="00A46163">
        <w:t xml:space="preserve"> and is now a monthly holdover</w:t>
      </w:r>
      <w:r w:rsidR="002B590B" w:rsidRPr="00A46163">
        <w:t xml:space="preserve"> arrangement as per the lease.</w:t>
      </w:r>
      <w:r w:rsidR="002B590B">
        <w:t xml:space="preserve"> </w:t>
      </w:r>
    </w:p>
    <w:p w14:paraId="5D09B575" w14:textId="77777777" w:rsidR="00D2400B" w:rsidRDefault="00D2400B" w:rsidP="00E71696">
      <w:r w:rsidRPr="004D2CB8">
        <w:t xml:space="preserve">No capital commitment exist in regards to the operating lease commitments at year – end. Increase in lease commitment may occur in line with CPI. </w:t>
      </w:r>
    </w:p>
    <w:p w14:paraId="58833CAB" w14:textId="77777777" w:rsidR="00D2400B" w:rsidRPr="0070206E" w:rsidRDefault="00D2400B" w:rsidP="00E71696">
      <w:pPr>
        <w:rPr>
          <w:highlight w:val="yellow"/>
        </w:rPr>
      </w:pPr>
      <w:r w:rsidRPr="004D2CB8">
        <w:t xml:space="preserve">The car park lease commitment is </w:t>
      </w:r>
      <w:r w:rsidR="00F73CFD">
        <w:t>month to month arrangement</w:t>
      </w:r>
      <w:r w:rsidRPr="004D2CB8">
        <w:t xml:space="preserve"> but not capitalised in the financial statements.</w:t>
      </w:r>
    </w:p>
    <w:p w14:paraId="3DBB4CEE" w14:textId="77777777" w:rsidR="00D2400B" w:rsidRPr="00FC5AAD" w:rsidRDefault="00EC6D27" w:rsidP="005132DB">
      <w:pPr>
        <w:pStyle w:val="Heading2"/>
      </w:pPr>
      <w:r>
        <w:t>17.</w:t>
      </w:r>
      <w:r w:rsidR="000B4B10">
        <w:t xml:space="preserve"> </w:t>
      </w:r>
      <w:r w:rsidR="00D2400B" w:rsidRPr="00FC5AAD">
        <w:t>Key Management Personnel</w:t>
      </w:r>
    </w:p>
    <w:p w14:paraId="55831403" w14:textId="77777777" w:rsidR="00D2400B" w:rsidRPr="003C5D3D" w:rsidRDefault="00D2400B" w:rsidP="00E71696">
      <w:r w:rsidRPr="003C5D3D">
        <w:t>The following responsible positions were key management personnel of the entity at any time during the reporting</w:t>
      </w:r>
      <w:r>
        <w:t xml:space="preserve"> p</w:t>
      </w:r>
      <w:r w:rsidRPr="003C5D3D">
        <w:t>eriod:</w:t>
      </w:r>
    </w:p>
    <w:p w14:paraId="20A390DB" w14:textId="77777777" w:rsidR="007C6C0F" w:rsidRDefault="00D2400B" w:rsidP="00216DF8">
      <w:pPr>
        <w:pStyle w:val="ListParagraph"/>
        <w:numPr>
          <w:ilvl w:val="0"/>
          <w:numId w:val="29"/>
        </w:numPr>
        <w:ind w:left="567"/>
      </w:pPr>
      <w:r w:rsidRPr="003C5D3D">
        <w:t>Chief Executive Officer</w:t>
      </w:r>
    </w:p>
    <w:p w14:paraId="3DF8EC43" w14:textId="77777777" w:rsidR="00D2400B" w:rsidRPr="003C5D3D" w:rsidRDefault="00D2400B" w:rsidP="00216DF8">
      <w:pPr>
        <w:pStyle w:val="ListParagraph"/>
        <w:numPr>
          <w:ilvl w:val="0"/>
          <w:numId w:val="29"/>
        </w:numPr>
        <w:ind w:left="567"/>
      </w:pPr>
      <w:r w:rsidRPr="003C5D3D">
        <w:t>Deputy Chief Executive Officer</w:t>
      </w:r>
    </w:p>
    <w:p w14:paraId="118CA3DA" w14:textId="77777777" w:rsidR="00D2400B" w:rsidRPr="00216DF8" w:rsidRDefault="007C6C0F" w:rsidP="00E71696">
      <w:pPr>
        <w:rPr>
          <w:b/>
        </w:rPr>
      </w:pPr>
      <w:r w:rsidRPr="00216DF8">
        <w:rPr>
          <w:b/>
        </w:rPr>
        <w:t>Transactions with k</w:t>
      </w:r>
      <w:r w:rsidR="00D2400B" w:rsidRPr="00216DF8">
        <w:rPr>
          <w:b/>
        </w:rPr>
        <w:t>ey management personnel</w:t>
      </w:r>
    </w:p>
    <w:p w14:paraId="5B76B00B" w14:textId="77777777" w:rsidR="00D2400B" w:rsidRDefault="00D2400B" w:rsidP="00E71696">
      <w:r w:rsidRPr="003C5D3D">
        <w:t>The key management personnel compensation included in employee expenses are as follows:</w:t>
      </w:r>
    </w:p>
    <w:tbl>
      <w:tblPr>
        <w:tblStyle w:val="TableGrid"/>
        <w:tblW w:w="91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key management personnel compensation"/>
      </w:tblPr>
      <w:tblGrid>
        <w:gridCol w:w="6297"/>
        <w:gridCol w:w="1444"/>
        <w:gridCol w:w="1444"/>
      </w:tblGrid>
      <w:tr w:rsidR="00D2400B" w:rsidRPr="009B1FC1" w14:paraId="4B07B5E0" w14:textId="77777777" w:rsidTr="00AB6E62">
        <w:trPr>
          <w:cnfStyle w:val="100000000000" w:firstRow="1" w:lastRow="0" w:firstColumn="0" w:lastColumn="0" w:oddVBand="0" w:evenVBand="0" w:oddHBand="0" w:evenHBand="0" w:firstRowFirstColumn="0" w:firstRowLastColumn="0" w:lastRowFirstColumn="0" w:lastRowLastColumn="0"/>
          <w:cantSplit/>
          <w:tblHeader/>
          <w:jc w:val="center"/>
        </w:trPr>
        <w:tc>
          <w:tcPr>
            <w:tcW w:w="6297" w:type="dxa"/>
          </w:tcPr>
          <w:p w14:paraId="734C8BA1" w14:textId="77777777" w:rsidR="00D2400B" w:rsidRPr="00942F69" w:rsidRDefault="00A20F2F" w:rsidP="00E71696">
            <w:r w:rsidRPr="00942F69">
              <w:t>Key management personnel compensation</w:t>
            </w:r>
          </w:p>
        </w:tc>
        <w:tc>
          <w:tcPr>
            <w:tcW w:w="1444" w:type="dxa"/>
          </w:tcPr>
          <w:p w14:paraId="5A95A66F" w14:textId="77777777" w:rsidR="00D2400B" w:rsidRPr="009B1FC1" w:rsidRDefault="00EF1D9F" w:rsidP="00E71696">
            <w:pPr>
              <w:rPr>
                <w:sz w:val="24"/>
                <w:szCs w:val="24"/>
              </w:rPr>
            </w:pPr>
            <w:r>
              <w:t>2016</w:t>
            </w:r>
            <w:r w:rsidR="007C6C0F">
              <w:br/>
              <w:t>$</w:t>
            </w:r>
          </w:p>
        </w:tc>
        <w:tc>
          <w:tcPr>
            <w:tcW w:w="1444" w:type="dxa"/>
          </w:tcPr>
          <w:p w14:paraId="3A1ECF69" w14:textId="77777777" w:rsidR="00D2400B" w:rsidRPr="009B1FC1" w:rsidRDefault="00EF1D9F" w:rsidP="00E71696">
            <w:r>
              <w:t>2015</w:t>
            </w:r>
            <w:r w:rsidR="007C6C0F">
              <w:br/>
              <w:t>$</w:t>
            </w:r>
          </w:p>
        </w:tc>
      </w:tr>
      <w:tr w:rsidR="00AB6E62" w:rsidRPr="009B1FC1" w14:paraId="26D65855" w14:textId="77777777" w:rsidTr="00AB6E62">
        <w:trPr>
          <w:cantSplit/>
          <w:jc w:val="center"/>
        </w:trPr>
        <w:tc>
          <w:tcPr>
            <w:tcW w:w="6297" w:type="dxa"/>
          </w:tcPr>
          <w:p w14:paraId="01D93E33" w14:textId="77777777" w:rsidR="00AB6E62" w:rsidRPr="00942F69" w:rsidRDefault="00AB6E62" w:rsidP="00E71696">
            <w:r w:rsidRPr="00942F69">
              <w:t>Short-term employee benefits</w:t>
            </w:r>
          </w:p>
        </w:tc>
        <w:tc>
          <w:tcPr>
            <w:tcW w:w="1444" w:type="dxa"/>
          </w:tcPr>
          <w:p w14:paraId="0633EC9E" w14:textId="77777777" w:rsidR="00AB6E62" w:rsidRPr="00A46163" w:rsidRDefault="00942F69" w:rsidP="00E71696">
            <w:r>
              <w:t>409,266</w:t>
            </w:r>
          </w:p>
        </w:tc>
        <w:tc>
          <w:tcPr>
            <w:tcW w:w="1444" w:type="dxa"/>
          </w:tcPr>
          <w:p w14:paraId="110924D2" w14:textId="77777777" w:rsidR="00AB6E62" w:rsidRPr="00A46163" w:rsidRDefault="00AB6E62" w:rsidP="00E71696">
            <w:r w:rsidRPr="00A46163">
              <w:t>365,963</w:t>
            </w:r>
          </w:p>
        </w:tc>
      </w:tr>
    </w:tbl>
    <w:p w14:paraId="08078D7C" w14:textId="77777777" w:rsidR="00D2400B" w:rsidRPr="00F104FF" w:rsidRDefault="00EC6D27" w:rsidP="005132DB">
      <w:pPr>
        <w:pStyle w:val="Heading2"/>
      </w:pPr>
      <w:r>
        <w:t>18.</w:t>
      </w:r>
      <w:r w:rsidR="000B4B10">
        <w:t xml:space="preserve"> </w:t>
      </w:r>
      <w:r w:rsidR="00D2400B" w:rsidRPr="00FC5AAD">
        <w:t>Non Key Management Personnel Disclosures</w:t>
      </w:r>
    </w:p>
    <w:p w14:paraId="310F99D9" w14:textId="23B3CF1C" w:rsidR="00D2400B" w:rsidRPr="0021084A" w:rsidRDefault="00D2400B" w:rsidP="00E71696">
      <w:pPr>
        <w:rPr>
          <w:b/>
        </w:rPr>
      </w:pPr>
      <w:r w:rsidRPr="00216DF8">
        <w:rPr>
          <w:b/>
        </w:rPr>
        <w:t>Identity of related parties</w:t>
      </w:r>
      <w:r w:rsidR="0021084A">
        <w:rPr>
          <w:b/>
        </w:rPr>
        <w:br/>
      </w:r>
      <w:r w:rsidRPr="005B134F">
        <w:t>The entity has a related party relationship with its directors.</w:t>
      </w:r>
    </w:p>
    <w:p w14:paraId="67A2E564" w14:textId="2D0D958B" w:rsidR="00AB6E62" w:rsidRPr="0021084A" w:rsidRDefault="00D2400B" w:rsidP="00E71696">
      <w:pPr>
        <w:rPr>
          <w:b/>
        </w:rPr>
      </w:pPr>
      <w:r w:rsidRPr="00216DF8">
        <w:rPr>
          <w:b/>
        </w:rPr>
        <w:t>Transactions with key management personnel</w:t>
      </w:r>
      <w:r w:rsidR="0021084A">
        <w:rPr>
          <w:b/>
        </w:rPr>
        <w:br/>
      </w:r>
      <w:r w:rsidRPr="005B134F">
        <w:t>All directors perform the</w:t>
      </w:r>
      <w:r>
        <w:t>ir duties on an honorary basis.</w:t>
      </w:r>
    </w:p>
    <w:p w14:paraId="109A2044" w14:textId="77777777" w:rsidR="00216DF8" w:rsidRDefault="00216DF8" w:rsidP="00216DF8">
      <w:pPr>
        <w:jc w:val="center"/>
        <w:rPr>
          <w:i/>
        </w:rPr>
      </w:pPr>
    </w:p>
    <w:p w14:paraId="15159556" w14:textId="77777777" w:rsidR="00D2400B" w:rsidRPr="00216DF8" w:rsidRDefault="00D2400B" w:rsidP="00216DF8">
      <w:pPr>
        <w:jc w:val="center"/>
        <w:rPr>
          <w:i/>
        </w:rPr>
      </w:pPr>
      <w:r w:rsidRPr="00216DF8">
        <w:rPr>
          <w:i/>
        </w:rPr>
        <w:t>These notes form part of the financial statements</w:t>
      </w:r>
    </w:p>
    <w:p w14:paraId="780EC19B" w14:textId="77777777" w:rsidR="00D2400B" w:rsidRDefault="00D2400B" w:rsidP="00E71696">
      <w:r>
        <w:br w:type="page"/>
      </w:r>
    </w:p>
    <w:tbl>
      <w:tblPr>
        <w:tblStyle w:val="TableGrid"/>
        <w:tblW w:w="91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cash flow information from operations"/>
      </w:tblPr>
      <w:tblGrid>
        <w:gridCol w:w="6016"/>
        <w:gridCol w:w="1584"/>
        <w:gridCol w:w="1585"/>
      </w:tblGrid>
      <w:tr w:rsidR="00D2400B" w:rsidRPr="008204DE" w14:paraId="4B97C175" w14:textId="77777777" w:rsidTr="000C0AED">
        <w:trPr>
          <w:cnfStyle w:val="100000000000" w:firstRow="1" w:lastRow="0" w:firstColumn="0" w:lastColumn="0" w:oddVBand="0" w:evenVBand="0" w:oddHBand="0" w:evenHBand="0" w:firstRowFirstColumn="0" w:firstRowLastColumn="0" w:lastRowFirstColumn="0" w:lastRowLastColumn="0"/>
          <w:tblHeader/>
          <w:jc w:val="center"/>
        </w:trPr>
        <w:tc>
          <w:tcPr>
            <w:tcW w:w="6016" w:type="dxa"/>
          </w:tcPr>
          <w:p w14:paraId="6ABF348E" w14:textId="77777777" w:rsidR="00D2400B" w:rsidRPr="001F30B3" w:rsidRDefault="00EC6D27" w:rsidP="005132DB">
            <w:pPr>
              <w:pStyle w:val="Heading2"/>
              <w:outlineLvl w:val="1"/>
              <w:rPr>
                <w:rFonts w:ascii="Times New Roman" w:hAnsi="Times New Roman"/>
                <w:sz w:val="24"/>
                <w:szCs w:val="24"/>
              </w:rPr>
            </w:pPr>
            <w:r w:rsidRPr="001F30B3">
              <w:lastRenderedPageBreak/>
              <w:t xml:space="preserve">19. </w:t>
            </w:r>
            <w:r w:rsidR="00D2400B" w:rsidRPr="001F30B3">
              <w:t>Cash Flow Information from Operations</w:t>
            </w:r>
          </w:p>
        </w:tc>
        <w:tc>
          <w:tcPr>
            <w:tcW w:w="1584" w:type="dxa"/>
          </w:tcPr>
          <w:p w14:paraId="44500A38" w14:textId="77777777" w:rsidR="00D2400B" w:rsidRPr="008204DE" w:rsidRDefault="00EF1D9F" w:rsidP="00E71696">
            <w:r>
              <w:t>2016</w:t>
            </w:r>
            <w:r w:rsidR="00D02DD3">
              <w:br/>
              <w:t>$</w:t>
            </w:r>
          </w:p>
        </w:tc>
        <w:tc>
          <w:tcPr>
            <w:tcW w:w="1585" w:type="dxa"/>
          </w:tcPr>
          <w:p w14:paraId="4DA4EFFE" w14:textId="77777777" w:rsidR="00D2400B" w:rsidRPr="008204DE" w:rsidRDefault="00EF1D9F" w:rsidP="00E71696">
            <w:r>
              <w:t>2015</w:t>
            </w:r>
            <w:r w:rsidR="00D02DD3">
              <w:br/>
              <w:t>$</w:t>
            </w:r>
          </w:p>
        </w:tc>
      </w:tr>
      <w:tr w:rsidR="00AB6E62" w:rsidRPr="00522D47" w14:paraId="4EDD29C6" w14:textId="77777777" w:rsidTr="000C0AED">
        <w:trPr>
          <w:jc w:val="center"/>
        </w:trPr>
        <w:tc>
          <w:tcPr>
            <w:tcW w:w="6016" w:type="dxa"/>
          </w:tcPr>
          <w:p w14:paraId="17E58BB5" w14:textId="77777777" w:rsidR="00AB6E62" w:rsidRPr="00522D47" w:rsidRDefault="00AB6E62" w:rsidP="00E71696">
            <w:r w:rsidRPr="00522D47">
              <w:t>Profit (Loss) after Income Tax</w:t>
            </w:r>
          </w:p>
        </w:tc>
        <w:tc>
          <w:tcPr>
            <w:tcW w:w="1584" w:type="dxa"/>
          </w:tcPr>
          <w:p w14:paraId="5C2D6F4D" w14:textId="77777777" w:rsidR="00AB6E62" w:rsidRPr="00522D47" w:rsidRDefault="005E7BDF" w:rsidP="00E71696">
            <w:r>
              <w:t>(818,672)</w:t>
            </w:r>
          </w:p>
        </w:tc>
        <w:tc>
          <w:tcPr>
            <w:tcW w:w="1585" w:type="dxa"/>
          </w:tcPr>
          <w:p w14:paraId="5613C0ED" w14:textId="77777777" w:rsidR="00AB6E62" w:rsidRPr="00522D47" w:rsidRDefault="00AB6E62" w:rsidP="00E71696">
            <w:r w:rsidRPr="00522D47">
              <w:t>(1,427,703)</w:t>
            </w:r>
          </w:p>
        </w:tc>
      </w:tr>
      <w:tr w:rsidR="00FB091A" w:rsidRPr="00522D47" w14:paraId="472A3BF0" w14:textId="77777777" w:rsidTr="000C0AED">
        <w:trPr>
          <w:jc w:val="center"/>
        </w:trPr>
        <w:tc>
          <w:tcPr>
            <w:tcW w:w="6016" w:type="dxa"/>
          </w:tcPr>
          <w:p w14:paraId="15987D6E" w14:textId="77777777" w:rsidR="00FB091A" w:rsidRPr="00522D47" w:rsidRDefault="00FB091A" w:rsidP="00E71696">
            <w:r w:rsidRPr="00522D47">
              <w:t>Non cash flows</w:t>
            </w:r>
          </w:p>
        </w:tc>
        <w:tc>
          <w:tcPr>
            <w:tcW w:w="1584" w:type="dxa"/>
          </w:tcPr>
          <w:p w14:paraId="1610990A" w14:textId="77777777" w:rsidR="00FB091A" w:rsidRPr="00522D47" w:rsidRDefault="00FB091A" w:rsidP="00E71696"/>
        </w:tc>
        <w:tc>
          <w:tcPr>
            <w:tcW w:w="1585" w:type="dxa"/>
          </w:tcPr>
          <w:p w14:paraId="15CBD154" w14:textId="77777777" w:rsidR="00FB091A" w:rsidRPr="00522D47" w:rsidRDefault="00FB091A" w:rsidP="00E71696"/>
        </w:tc>
      </w:tr>
      <w:tr w:rsidR="00AB6E62" w:rsidRPr="00522D47" w14:paraId="1A22EC6C" w14:textId="77777777" w:rsidTr="000C0AED">
        <w:trPr>
          <w:jc w:val="center"/>
        </w:trPr>
        <w:tc>
          <w:tcPr>
            <w:tcW w:w="6016" w:type="dxa"/>
          </w:tcPr>
          <w:p w14:paraId="3A4A3769" w14:textId="77777777" w:rsidR="00AB6E62" w:rsidRPr="00522D47" w:rsidRDefault="00AB6E62" w:rsidP="00E71696">
            <w:r w:rsidRPr="00522D47">
              <w:t>Depreciation and amortization</w:t>
            </w:r>
          </w:p>
        </w:tc>
        <w:tc>
          <w:tcPr>
            <w:tcW w:w="1584" w:type="dxa"/>
          </w:tcPr>
          <w:p w14:paraId="4C3C8D16" w14:textId="77777777" w:rsidR="00AB6E62" w:rsidRPr="00522D47" w:rsidRDefault="005E7BDF" w:rsidP="00E71696">
            <w:r>
              <w:t>16,252</w:t>
            </w:r>
          </w:p>
        </w:tc>
        <w:tc>
          <w:tcPr>
            <w:tcW w:w="1585" w:type="dxa"/>
          </w:tcPr>
          <w:p w14:paraId="49FD6BF2" w14:textId="77777777" w:rsidR="00AB6E62" w:rsidRPr="00522D47" w:rsidRDefault="00AB6E62" w:rsidP="00E71696">
            <w:r>
              <w:t>103,468</w:t>
            </w:r>
          </w:p>
        </w:tc>
      </w:tr>
      <w:tr w:rsidR="00AB6E62" w:rsidRPr="00522D47" w14:paraId="763EE8D2" w14:textId="77777777" w:rsidTr="000C0AED">
        <w:trPr>
          <w:jc w:val="center"/>
        </w:trPr>
        <w:tc>
          <w:tcPr>
            <w:tcW w:w="6016" w:type="dxa"/>
          </w:tcPr>
          <w:p w14:paraId="48D4A5FA" w14:textId="77777777" w:rsidR="00AB6E62" w:rsidRPr="00522D47" w:rsidRDefault="00AB6E62" w:rsidP="00E71696">
            <w:r w:rsidRPr="00522D47">
              <w:t>Unrealised loss (gain) on investment</w:t>
            </w:r>
          </w:p>
        </w:tc>
        <w:tc>
          <w:tcPr>
            <w:tcW w:w="1584" w:type="dxa"/>
          </w:tcPr>
          <w:p w14:paraId="20F0513F" w14:textId="77777777" w:rsidR="00AB6E62" w:rsidRPr="00522D47" w:rsidRDefault="005E7BDF" w:rsidP="00E71696">
            <w:r>
              <w:t>146,984</w:t>
            </w:r>
          </w:p>
        </w:tc>
        <w:tc>
          <w:tcPr>
            <w:tcW w:w="1585" w:type="dxa"/>
          </w:tcPr>
          <w:p w14:paraId="3E69A72B" w14:textId="77777777" w:rsidR="00AB6E62" w:rsidRPr="00522D47" w:rsidRDefault="00AB6E62" w:rsidP="00E71696">
            <w:r>
              <w:t>545,361</w:t>
            </w:r>
          </w:p>
        </w:tc>
      </w:tr>
      <w:tr w:rsidR="00FB091A" w:rsidRPr="00522D47" w14:paraId="624BE206" w14:textId="77777777" w:rsidTr="000C0AED">
        <w:trPr>
          <w:jc w:val="center"/>
        </w:trPr>
        <w:tc>
          <w:tcPr>
            <w:tcW w:w="6016" w:type="dxa"/>
          </w:tcPr>
          <w:p w14:paraId="6676B613" w14:textId="77777777" w:rsidR="00FB091A" w:rsidRPr="00522D47" w:rsidRDefault="00FB091A" w:rsidP="00E71696">
            <w:r w:rsidRPr="00522D47">
              <w:t>Changes in assets and liabilities</w:t>
            </w:r>
          </w:p>
        </w:tc>
        <w:tc>
          <w:tcPr>
            <w:tcW w:w="1584" w:type="dxa"/>
          </w:tcPr>
          <w:p w14:paraId="7333E56B" w14:textId="77777777" w:rsidR="00FB091A" w:rsidRPr="00522D47" w:rsidRDefault="00FB091A" w:rsidP="00E71696"/>
        </w:tc>
        <w:tc>
          <w:tcPr>
            <w:tcW w:w="1585" w:type="dxa"/>
          </w:tcPr>
          <w:p w14:paraId="28F53701" w14:textId="77777777" w:rsidR="00FB091A" w:rsidRPr="00522D47" w:rsidRDefault="00FB091A" w:rsidP="00E71696"/>
        </w:tc>
      </w:tr>
      <w:tr w:rsidR="00AB6E62" w:rsidRPr="00522D47" w14:paraId="1FD3A42C" w14:textId="77777777" w:rsidTr="000C0AED">
        <w:trPr>
          <w:jc w:val="center"/>
        </w:trPr>
        <w:tc>
          <w:tcPr>
            <w:tcW w:w="6016" w:type="dxa"/>
          </w:tcPr>
          <w:p w14:paraId="142AF705" w14:textId="77777777" w:rsidR="00AB6E62" w:rsidRPr="00522D47" w:rsidRDefault="00AB6E62" w:rsidP="00E71696">
            <w:r w:rsidRPr="00522D47">
              <w:t>Decrease/ (increase) in trade and other receivables, and other assets</w:t>
            </w:r>
          </w:p>
        </w:tc>
        <w:tc>
          <w:tcPr>
            <w:tcW w:w="1584" w:type="dxa"/>
          </w:tcPr>
          <w:p w14:paraId="4F533170" w14:textId="77777777" w:rsidR="00AB6E62" w:rsidRPr="00522D47" w:rsidRDefault="005E7BDF" w:rsidP="00E71696">
            <w:r>
              <w:t>(171,174)</w:t>
            </w:r>
          </w:p>
        </w:tc>
        <w:tc>
          <w:tcPr>
            <w:tcW w:w="1585" w:type="dxa"/>
          </w:tcPr>
          <w:p w14:paraId="459C7F7C" w14:textId="77777777" w:rsidR="00AB6E62" w:rsidRPr="00522D47" w:rsidRDefault="00AB6E62" w:rsidP="00E71696">
            <w:r>
              <w:t>28,257</w:t>
            </w:r>
          </w:p>
        </w:tc>
      </w:tr>
      <w:tr w:rsidR="00AB6E62" w:rsidRPr="00522D47" w14:paraId="02EE0410" w14:textId="77777777" w:rsidTr="000C0AED">
        <w:trPr>
          <w:jc w:val="center"/>
        </w:trPr>
        <w:tc>
          <w:tcPr>
            <w:tcW w:w="6016" w:type="dxa"/>
          </w:tcPr>
          <w:p w14:paraId="154DE396" w14:textId="77777777" w:rsidR="00AB6E62" w:rsidRPr="00522D47" w:rsidRDefault="00AB6E62" w:rsidP="00E71696">
            <w:r w:rsidRPr="00522D47">
              <w:t>(Decrease) / increase in trade and other payables</w:t>
            </w:r>
          </w:p>
        </w:tc>
        <w:tc>
          <w:tcPr>
            <w:tcW w:w="1584" w:type="dxa"/>
          </w:tcPr>
          <w:p w14:paraId="68209C6D" w14:textId="77777777" w:rsidR="00AB6E62" w:rsidRPr="00522D47" w:rsidRDefault="005E7BDF" w:rsidP="00E71696">
            <w:r>
              <w:t>87,919</w:t>
            </w:r>
          </w:p>
        </w:tc>
        <w:tc>
          <w:tcPr>
            <w:tcW w:w="1585" w:type="dxa"/>
          </w:tcPr>
          <w:p w14:paraId="461DDE82" w14:textId="77777777" w:rsidR="00AB6E62" w:rsidRPr="00522D47" w:rsidRDefault="00AB6E62" w:rsidP="00E71696">
            <w:r>
              <w:t>30,959</w:t>
            </w:r>
          </w:p>
        </w:tc>
      </w:tr>
      <w:tr w:rsidR="00AB6E62" w:rsidRPr="00522D47" w14:paraId="66195487" w14:textId="77777777" w:rsidTr="000C0AED">
        <w:trPr>
          <w:jc w:val="center"/>
        </w:trPr>
        <w:tc>
          <w:tcPr>
            <w:tcW w:w="6016" w:type="dxa"/>
          </w:tcPr>
          <w:p w14:paraId="001E7D55" w14:textId="77777777" w:rsidR="00AB6E62" w:rsidRPr="00522D47" w:rsidRDefault="00AB6E62" w:rsidP="00E71696">
            <w:r w:rsidRPr="00522D47">
              <w:t>(Decrease) / increase in provisions</w:t>
            </w:r>
          </w:p>
        </w:tc>
        <w:tc>
          <w:tcPr>
            <w:tcW w:w="1584" w:type="dxa"/>
            <w:tcBorders>
              <w:bottom w:val="single" w:sz="4" w:space="0" w:color="auto"/>
            </w:tcBorders>
          </w:tcPr>
          <w:p w14:paraId="2CBADD1B" w14:textId="77777777" w:rsidR="00AB6E62" w:rsidRPr="00522D47" w:rsidRDefault="005E7BDF" w:rsidP="00E71696">
            <w:r>
              <w:t>(78,936)</w:t>
            </w:r>
          </w:p>
        </w:tc>
        <w:tc>
          <w:tcPr>
            <w:tcW w:w="1585" w:type="dxa"/>
            <w:tcBorders>
              <w:bottom w:val="single" w:sz="4" w:space="0" w:color="auto"/>
            </w:tcBorders>
          </w:tcPr>
          <w:p w14:paraId="17C11A44" w14:textId="77777777" w:rsidR="00AB6E62" w:rsidRPr="00522D47" w:rsidRDefault="00AB6E62" w:rsidP="00E71696">
            <w:r>
              <w:t>21,217</w:t>
            </w:r>
          </w:p>
        </w:tc>
      </w:tr>
      <w:tr w:rsidR="00AB6E62" w:rsidRPr="008204DE" w14:paraId="47A08A14" w14:textId="77777777" w:rsidTr="000C0AED">
        <w:trPr>
          <w:jc w:val="center"/>
        </w:trPr>
        <w:tc>
          <w:tcPr>
            <w:tcW w:w="6016" w:type="dxa"/>
          </w:tcPr>
          <w:p w14:paraId="74CCB73A" w14:textId="77777777" w:rsidR="00AB6E62" w:rsidRPr="00522D47" w:rsidRDefault="00AB6E62" w:rsidP="00E71696">
            <w:r w:rsidRPr="00522D47">
              <w:t>Cash flow provided by operating activities</w:t>
            </w:r>
          </w:p>
        </w:tc>
        <w:tc>
          <w:tcPr>
            <w:tcW w:w="1584" w:type="dxa"/>
            <w:tcBorders>
              <w:top w:val="single" w:sz="4" w:space="0" w:color="auto"/>
              <w:bottom w:val="double" w:sz="4" w:space="0" w:color="auto"/>
            </w:tcBorders>
          </w:tcPr>
          <w:p w14:paraId="6C9E1365" w14:textId="77777777" w:rsidR="00AB6E62" w:rsidRPr="00522D47" w:rsidRDefault="005E7BDF" w:rsidP="00E71696">
            <w:r>
              <w:t>(817,627)</w:t>
            </w:r>
          </w:p>
        </w:tc>
        <w:tc>
          <w:tcPr>
            <w:tcW w:w="1585" w:type="dxa"/>
            <w:tcBorders>
              <w:top w:val="single" w:sz="4" w:space="0" w:color="auto"/>
              <w:bottom w:val="double" w:sz="4" w:space="0" w:color="auto"/>
            </w:tcBorders>
          </w:tcPr>
          <w:p w14:paraId="075AF61E" w14:textId="77777777" w:rsidR="00AB6E62" w:rsidRPr="00522D47" w:rsidRDefault="00AB6E62" w:rsidP="00E71696">
            <w:r w:rsidRPr="00522D47">
              <w:t>(</w:t>
            </w:r>
            <w:r>
              <w:t>698,441</w:t>
            </w:r>
            <w:r w:rsidRPr="00522D47">
              <w:t>)</w:t>
            </w:r>
          </w:p>
        </w:tc>
      </w:tr>
    </w:tbl>
    <w:p w14:paraId="74DE0F68" w14:textId="77777777" w:rsidR="00D2400B" w:rsidRPr="00F104FF" w:rsidRDefault="00EC6D27" w:rsidP="005132DB">
      <w:pPr>
        <w:pStyle w:val="Heading2"/>
        <w:rPr>
          <w:rFonts w:ascii="Times New Roman" w:hAnsi="Times New Roman"/>
        </w:rPr>
      </w:pPr>
      <w:r>
        <w:t xml:space="preserve">20. </w:t>
      </w:r>
      <w:r w:rsidR="00D2400B" w:rsidRPr="00F104FF">
        <w:t>Economic Entity Details</w:t>
      </w:r>
    </w:p>
    <w:p w14:paraId="06020970" w14:textId="7D2ECFEE" w:rsidR="00D2400B" w:rsidRPr="0021084A" w:rsidRDefault="00D2400B" w:rsidP="00E71696">
      <w:pPr>
        <w:rPr>
          <w:b/>
        </w:rPr>
      </w:pPr>
      <w:r w:rsidRPr="0021084A">
        <w:rPr>
          <w:b/>
        </w:rPr>
        <w:t>The registered office of Economic Entity is</w:t>
      </w:r>
      <w:r w:rsidR="0021084A">
        <w:rPr>
          <w:b/>
        </w:rPr>
        <w:t>:</w:t>
      </w:r>
    </w:p>
    <w:p w14:paraId="1730BC85" w14:textId="77777777" w:rsidR="00D2400B" w:rsidRPr="00117C87" w:rsidRDefault="00D2400B" w:rsidP="00E71696">
      <w:r w:rsidRPr="00117C87">
        <w:t>Media Access Australia</w:t>
      </w:r>
      <w:r w:rsidR="00D02DD3">
        <w:br/>
      </w:r>
      <w:r w:rsidRPr="00117C87">
        <w:t>Level 3</w:t>
      </w:r>
      <w:r w:rsidR="00D02DD3">
        <w:br/>
      </w:r>
      <w:r w:rsidRPr="00117C87">
        <w:t>616-620 Harris Street</w:t>
      </w:r>
      <w:r w:rsidR="00D02DD3">
        <w:br/>
      </w:r>
      <w:r w:rsidRPr="00117C87">
        <w:t>ULTIMO</w:t>
      </w:r>
      <w:r w:rsidR="00BE7EB4">
        <w:t xml:space="preserve"> </w:t>
      </w:r>
      <w:r w:rsidRPr="00117C87">
        <w:t>NSW</w:t>
      </w:r>
      <w:r w:rsidR="00BE7EB4">
        <w:t xml:space="preserve"> </w:t>
      </w:r>
      <w:r w:rsidRPr="00117C87">
        <w:t>2007</w:t>
      </w:r>
    </w:p>
    <w:p w14:paraId="43BD01F3" w14:textId="77777777" w:rsidR="00D2400B" w:rsidRPr="0021084A" w:rsidRDefault="00D2400B" w:rsidP="00E71696">
      <w:pPr>
        <w:rPr>
          <w:b/>
        </w:rPr>
      </w:pPr>
      <w:r w:rsidRPr="0021084A">
        <w:rPr>
          <w:b/>
        </w:rPr>
        <w:t>The principal place of business of the Economic Entity is:</w:t>
      </w:r>
    </w:p>
    <w:p w14:paraId="450093A1" w14:textId="77777777" w:rsidR="00D2400B" w:rsidRDefault="00D2400B" w:rsidP="00E71696">
      <w:pPr>
        <w:rPr>
          <w:sz w:val="24"/>
          <w:szCs w:val="24"/>
        </w:rPr>
      </w:pPr>
      <w:r w:rsidRPr="00117C87">
        <w:t>Media Access Australia</w:t>
      </w:r>
      <w:r w:rsidR="00D02DD3">
        <w:br/>
      </w:r>
      <w:r w:rsidRPr="00117C87">
        <w:t>Level 3</w:t>
      </w:r>
      <w:r w:rsidR="00D02DD3">
        <w:br/>
      </w:r>
      <w:r w:rsidRPr="00117C87">
        <w:t>616-620 Harris Street</w:t>
      </w:r>
      <w:r w:rsidR="00D02DD3">
        <w:br/>
      </w:r>
      <w:r w:rsidRPr="00117C87">
        <w:t>ULTIMO</w:t>
      </w:r>
      <w:r w:rsidR="00BE7EB4">
        <w:t xml:space="preserve"> </w:t>
      </w:r>
      <w:r w:rsidRPr="00117C87">
        <w:t>NSW</w:t>
      </w:r>
      <w:r w:rsidR="00BE7EB4">
        <w:t xml:space="preserve"> </w:t>
      </w:r>
      <w:r w:rsidRPr="00117C87">
        <w:t>2007</w:t>
      </w:r>
    </w:p>
    <w:p w14:paraId="7444C38A" w14:textId="77777777" w:rsidR="00603B49" w:rsidRDefault="00603B49" w:rsidP="0021084A">
      <w:pPr>
        <w:jc w:val="center"/>
        <w:rPr>
          <w:i/>
        </w:rPr>
      </w:pPr>
    </w:p>
    <w:p w14:paraId="422C64D9" w14:textId="77777777" w:rsidR="00D2400B" w:rsidRPr="0021084A" w:rsidRDefault="00D2400B" w:rsidP="0021084A">
      <w:pPr>
        <w:jc w:val="center"/>
        <w:rPr>
          <w:i/>
        </w:rPr>
      </w:pPr>
      <w:r w:rsidRPr="0021084A">
        <w:rPr>
          <w:i/>
        </w:rPr>
        <w:t>These notes form part of the financial statements</w:t>
      </w:r>
      <w:r w:rsidRPr="0021084A">
        <w:rPr>
          <w:i/>
        </w:rPr>
        <w:br w:type="page"/>
      </w:r>
    </w:p>
    <w:p w14:paraId="3C25BF1C" w14:textId="74EFE472" w:rsidR="00D2400B" w:rsidRPr="005B6049" w:rsidRDefault="005B6049" w:rsidP="005132DB">
      <w:pPr>
        <w:pStyle w:val="Heading1"/>
      </w:pPr>
      <w:bookmarkStart w:id="9" w:name="_Toc340406360"/>
      <w:r w:rsidRPr="005B6049">
        <w:lastRenderedPageBreak/>
        <w:t>DIRECTORS’ DECLARATION</w:t>
      </w:r>
      <w:bookmarkEnd w:id="9"/>
    </w:p>
    <w:p w14:paraId="0F216CB1" w14:textId="77777777" w:rsidR="00D02DD3" w:rsidRPr="005B6049" w:rsidRDefault="000C0AED" w:rsidP="00E71696">
      <w:pPr>
        <w:rPr>
          <w:rStyle w:val="Strong"/>
        </w:rPr>
      </w:pPr>
      <w:r w:rsidRPr="005B6049">
        <w:rPr>
          <w:rStyle w:val="Strong"/>
        </w:rPr>
        <w:t xml:space="preserve">For the Year ended 30 June </w:t>
      </w:r>
      <w:r w:rsidR="00EF1D9F" w:rsidRPr="005B6049">
        <w:rPr>
          <w:rStyle w:val="Strong"/>
        </w:rPr>
        <w:t>2016</w:t>
      </w:r>
    </w:p>
    <w:p w14:paraId="10537BC6" w14:textId="77777777" w:rsidR="00D2400B" w:rsidRDefault="00D2400B" w:rsidP="00E71696">
      <w:r>
        <w:t>The directors have determined that the company is a reporting entity and that this General purpose financial report should be prepared in accordance with the accounting policies outlined in Note 1 to the financial statements.</w:t>
      </w:r>
    </w:p>
    <w:p w14:paraId="6DC01A9E" w14:textId="77777777" w:rsidR="00D2400B" w:rsidRDefault="00D2400B" w:rsidP="00E71696">
      <w:pPr>
        <w:rPr>
          <w:sz w:val="24"/>
          <w:szCs w:val="24"/>
        </w:rPr>
      </w:pPr>
      <w:r>
        <w:t>The directors of the company declare that:</w:t>
      </w:r>
    </w:p>
    <w:p w14:paraId="7DCA085F" w14:textId="77777777" w:rsidR="00D2400B" w:rsidRDefault="00D2400B" w:rsidP="005B6049">
      <w:pPr>
        <w:pStyle w:val="ListParagraph"/>
        <w:numPr>
          <w:ilvl w:val="6"/>
          <w:numId w:val="35"/>
        </w:numPr>
        <w:ind w:left="709"/>
      </w:pPr>
      <w:r>
        <w:t xml:space="preserve">the financial statements and notes, as set out in the financial report present fairly the company’s financial position as at 30 June </w:t>
      </w:r>
      <w:r w:rsidR="00EF1D9F">
        <w:t>2016</w:t>
      </w:r>
      <w:r>
        <w:t xml:space="preserve"> and its performance for the year ended on that date in accordance with the accounting policies described in Note 1 to the financial statements; and</w:t>
      </w:r>
    </w:p>
    <w:p w14:paraId="4AB010C8" w14:textId="77777777" w:rsidR="00D2400B" w:rsidRPr="00910318" w:rsidRDefault="00D2400B" w:rsidP="005B6049">
      <w:pPr>
        <w:pStyle w:val="ListParagraph"/>
        <w:numPr>
          <w:ilvl w:val="6"/>
          <w:numId w:val="35"/>
        </w:numPr>
        <w:ind w:left="709"/>
        <w:rPr>
          <w:sz w:val="24"/>
          <w:szCs w:val="24"/>
        </w:rPr>
      </w:pPr>
      <w:proofErr w:type="gramStart"/>
      <w:r>
        <w:t>in</w:t>
      </w:r>
      <w:proofErr w:type="gramEnd"/>
      <w:r>
        <w:t xml:space="preserve"> the directors’ opinion there are reasonable grounds to believe that the company will be able to pay its debts as and when they become due and payable.</w:t>
      </w:r>
    </w:p>
    <w:p w14:paraId="5F80B4A0" w14:textId="77777777" w:rsidR="00D2400B" w:rsidRDefault="00D2400B" w:rsidP="00E71696">
      <w:r>
        <w:t>This declaration is made in accordance with a resolution of the Board of Directors.</w:t>
      </w:r>
    </w:p>
    <w:p w14:paraId="679E5482" w14:textId="2DA29C55" w:rsidR="00AF5817" w:rsidRDefault="00E87878" w:rsidP="00E71696">
      <w:r>
        <w:rPr>
          <w:noProof/>
          <w:lang w:eastAsia="en-AU"/>
        </w:rPr>
        <w:drawing>
          <wp:inline distT="0" distB="0" distL="0" distR="0" wp14:anchorId="52542AD1" wp14:editId="479900EB">
            <wp:extent cx="1836269" cy="1108953"/>
            <wp:effectExtent l="0" t="0" r="0" b="8890"/>
            <wp:docPr id="13" name="Picture 13" descr="Stephen H Wal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36371" cy="1109015"/>
                    </a:xfrm>
                    <a:prstGeom prst="rect">
                      <a:avLst/>
                    </a:prstGeom>
                    <a:noFill/>
                    <a:ln>
                      <a:noFill/>
                    </a:ln>
                  </pic:spPr>
                </pic:pic>
              </a:graphicData>
            </a:graphic>
          </wp:inline>
        </w:drawing>
      </w:r>
    </w:p>
    <w:p w14:paraId="33747127" w14:textId="77777777" w:rsidR="009868C6" w:rsidRPr="005B6049" w:rsidRDefault="009868C6" w:rsidP="00E71696">
      <w:pPr>
        <w:rPr>
          <w:b/>
        </w:rPr>
      </w:pPr>
      <w:r w:rsidRPr="005B6049">
        <w:rPr>
          <w:b/>
        </w:rPr>
        <w:t>Stephen H Wall</w:t>
      </w:r>
    </w:p>
    <w:p w14:paraId="1525A8AE" w14:textId="77777777" w:rsidR="00D2400B" w:rsidRDefault="00D2400B" w:rsidP="00E71696">
      <w:pPr>
        <w:rPr>
          <w:sz w:val="24"/>
          <w:szCs w:val="24"/>
        </w:rPr>
      </w:pPr>
      <w:r w:rsidRPr="00F72DB5">
        <w:t>Director</w:t>
      </w:r>
    </w:p>
    <w:p w14:paraId="60C4E7F0" w14:textId="04769DC2" w:rsidR="00D2400B" w:rsidRDefault="00194F9F" w:rsidP="00E71696">
      <w:r w:rsidRPr="004E43B6">
        <w:t xml:space="preserve">Dated this </w:t>
      </w:r>
      <w:r>
        <w:t>17</w:t>
      </w:r>
      <w:r w:rsidRPr="00194F9F">
        <w:rPr>
          <w:vertAlign w:val="superscript"/>
        </w:rPr>
        <w:t>th</w:t>
      </w:r>
      <w:r w:rsidRPr="004E43B6">
        <w:t xml:space="preserve"> day of November 2016</w:t>
      </w:r>
      <w:r w:rsidR="00D2400B">
        <w:br w:type="page"/>
      </w:r>
    </w:p>
    <w:p w14:paraId="7D02BC06" w14:textId="47825883" w:rsidR="00D2400B" w:rsidRPr="0002535A" w:rsidRDefault="00E87878" w:rsidP="005132DB">
      <w:pPr>
        <w:pStyle w:val="Heading1"/>
        <w:rPr>
          <w:sz w:val="96"/>
        </w:rPr>
      </w:pPr>
      <w:bookmarkStart w:id="10" w:name="_Toc340406361"/>
      <w:r w:rsidRPr="0002535A">
        <w:rPr>
          <w:sz w:val="96"/>
        </w:rPr>
        <w:lastRenderedPageBreak/>
        <w:t>AUDITOR’S INDEPENDENCE DECLARATION</w:t>
      </w:r>
      <w:bookmarkEnd w:id="10"/>
    </w:p>
    <w:p w14:paraId="6CF42A36" w14:textId="77777777" w:rsidR="00910318" w:rsidRPr="00E87878" w:rsidRDefault="000C0AED" w:rsidP="00E71696">
      <w:pPr>
        <w:rPr>
          <w:rStyle w:val="Strong"/>
        </w:rPr>
      </w:pPr>
      <w:r w:rsidRPr="00E87878">
        <w:rPr>
          <w:rStyle w:val="Strong"/>
        </w:rPr>
        <w:t xml:space="preserve">For the Year ended 30 June </w:t>
      </w:r>
      <w:r w:rsidR="00EF1D9F" w:rsidRPr="00E87878">
        <w:rPr>
          <w:rStyle w:val="Strong"/>
        </w:rPr>
        <w:t>2016</w:t>
      </w:r>
    </w:p>
    <w:p w14:paraId="6E045984" w14:textId="77777777" w:rsidR="00D2400B" w:rsidRPr="00CC3FB2" w:rsidRDefault="00D2400B" w:rsidP="00E71696">
      <w:r w:rsidRPr="00CC3FB2">
        <w:t>The Board of Directors</w:t>
      </w:r>
      <w:r w:rsidR="00910318" w:rsidRPr="00CC3FB2">
        <w:br/>
      </w:r>
      <w:r w:rsidRPr="00CC3FB2">
        <w:t>Media Access Australia</w:t>
      </w:r>
      <w:r w:rsidR="00910318" w:rsidRPr="00CC3FB2">
        <w:br/>
      </w:r>
      <w:r w:rsidRPr="00CC3FB2">
        <w:t>Level 3</w:t>
      </w:r>
      <w:r w:rsidR="00910318" w:rsidRPr="00CC3FB2">
        <w:br/>
      </w:r>
      <w:r w:rsidRPr="00CC3FB2">
        <w:t>616-620 Harris Street</w:t>
      </w:r>
      <w:r w:rsidR="00910318" w:rsidRPr="00CC3FB2">
        <w:br/>
      </w:r>
      <w:r w:rsidRPr="00CC3FB2">
        <w:t>ULTIMO NSW 2007</w:t>
      </w:r>
    </w:p>
    <w:p w14:paraId="37EB1F8E" w14:textId="7E7565B9" w:rsidR="00D2400B" w:rsidRPr="00CC3FB2" w:rsidRDefault="001413B1" w:rsidP="00E71696">
      <w:r>
        <w:t>Date: 22</w:t>
      </w:r>
      <w:r w:rsidR="00207A92" w:rsidRPr="00CC3FB2">
        <w:t xml:space="preserve"> November </w:t>
      </w:r>
      <w:r w:rsidR="00EF1D9F" w:rsidRPr="00CC3FB2">
        <w:t>2016</w:t>
      </w:r>
    </w:p>
    <w:p w14:paraId="52265524" w14:textId="77777777" w:rsidR="00D2400B" w:rsidRPr="00CC3FB2" w:rsidRDefault="00D2400B" w:rsidP="00E71696">
      <w:r w:rsidRPr="00CC3FB2">
        <w:t>Dear Board Members,</w:t>
      </w:r>
    </w:p>
    <w:p w14:paraId="239D15A7" w14:textId="77777777" w:rsidR="00D2400B" w:rsidRPr="00E87878" w:rsidRDefault="00D2400B" w:rsidP="00E87878">
      <w:pPr>
        <w:jc w:val="center"/>
        <w:rPr>
          <w:b/>
        </w:rPr>
      </w:pPr>
      <w:r w:rsidRPr="00E87878">
        <w:rPr>
          <w:b/>
        </w:rPr>
        <w:t>Media Access Australia</w:t>
      </w:r>
    </w:p>
    <w:p w14:paraId="5C547DC2" w14:textId="5948BEAC" w:rsidR="00D2400B" w:rsidRPr="00CC3FB2" w:rsidRDefault="00D2400B" w:rsidP="00E71696">
      <w:r w:rsidRPr="00CC3FB2">
        <w:t>In accordance with section 307C of the Corporations Act 2001, I am pleased to provide the following declaration of independence to the directors of Media Access Australia.</w:t>
      </w:r>
    </w:p>
    <w:p w14:paraId="3069705E" w14:textId="77777777" w:rsidR="00D2400B" w:rsidRPr="00CC3FB2" w:rsidRDefault="00D2400B" w:rsidP="00E71696">
      <w:r w:rsidRPr="00CC3FB2">
        <w:t>As the auditor of the financial statements of Media Access Australia for the f</w:t>
      </w:r>
      <w:r w:rsidR="00C336BD" w:rsidRPr="00CC3FB2">
        <w:t xml:space="preserve">inancial year ended 30 June </w:t>
      </w:r>
      <w:r w:rsidR="00EF1D9F" w:rsidRPr="00CC3FB2">
        <w:t>2016</w:t>
      </w:r>
      <w:r w:rsidRPr="00CC3FB2">
        <w:t xml:space="preserve">, I declare to the best of my knowledge and belief, there have been: </w:t>
      </w:r>
    </w:p>
    <w:p w14:paraId="58088769" w14:textId="77777777" w:rsidR="00D2400B" w:rsidRPr="00CC3FB2" w:rsidRDefault="00D2400B" w:rsidP="00E87878">
      <w:pPr>
        <w:pStyle w:val="ListParagraph"/>
        <w:numPr>
          <w:ilvl w:val="0"/>
          <w:numId w:val="31"/>
        </w:numPr>
        <w:ind w:left="851"/>
      </w:pPr>
      <w:r w:rsidRPr="00CC3FB2">
        <w:t>no contraventions the auditor independence requirements of the Corporations Act 2001 in relation to the audit; and</w:t>
      </w:r>
    </w:p>
    <w:p w14:paraId="5A3FA900" w14:textId="77777777" w:rsidR="00D2400B" w:rsidRPr="00CC3FB2" w:rsidRDefault="00D2400B" w:rsidP="00E87878">
      <w:pPr>
        <w:pStyle w:val="ListParagraph"/>
        <w:numPr>
          <w:ilvl w:val="0"/>
          <w:numId w:val="31"/>
        </w:numPr>
        <w:ind w:left="851"/>
      </w:pPr>
      <w:proofErr w:type="gramStart"/>
      <w:r w:rsidRPr="00CC3FB2">
        <w:t>assessing</w:t>
      </w:r>
      <w:proofErr w:type="gramEnd"/>
      <w:r w:rsidRPr="00CC3FB2">
        <w:t xml:space="preserve"> the appropriateness of the accounting policies and disclosures used and the reasonableness of significant accounting estimates made by the directors. </w:t>
      </w:r>
    </w:p>
    <w:p w14:paraId="6E8A8735" w14:textId="77777777" w:rsidR="00E87878" w:rsidRDefault="00E87878" w:rsidP="00E71696"/>
    <w:p w14:paraId="2FC9C638" w14:textId="5371F27D" w:rsidR="00AF5817" w:rsidRPr="00CC3FB2" w:rsidRDefault="00D2400B" w:rsidP="00E71696">
      <w:r w:rsidRPr="00CC3FB2">
        <w:t>Yours sincerely</w:t>
      </w:r>
    </w:p>
    <w:p w14:paraId="6AC624EA" w14:textId="3D4D76CC" w:rsidR="00AF5817" w:rsidRPr="00CC3FB2" w:rsidRDefault="001413B1" w:rsidP="00E71696">
      <w:pPr>
        <w:rPr>
          <w:noProof/>
          <w:lang w:eastAsia="en-AU"/>
        </w:rPr>
      </w:pPr>
      <w:r>
        <w:rPr>
          <w:b/>
          <w:noProof/>
          <w:lang w:eastAsia="en-AU"/>
        </w:rPr>
        <w:drawing>
          <wp:inline distT="0" distB="0" distL="0" distR="0" wp14:anchorId="3996774B" wp14:editId="0586A34A">
            <wp:extent cx="1600200" cy="938463"/>
            <wp:effectExtent l="0" t="0" r="0" b="0"/>
            <wp:docPr id="3" name="Picture 1" descr="Signa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00200" cy="938463"/>
                    </a:xfrm>
                    <a:prstGeom prst="rect">
                      <a:avLst/>
                    </a:prstGeom>
                    <a:noFill/>
                    <a:ln>
                      <a:noFill/>
                    </a:ln>
                  </pic:spPr>
                </pic:pic>
              </a:graphicData>
            </a:graphic>
          </wp:inline>
        </w:drawing>
      </w:r>
    </w:p>
    <w:p w14:paraId="4E83054A" w14:textId="77777777" w:rsidR="00D2400B" w:rsidRPr="00CC3FB2" w:rsidRDefault="00D2400B" w:rsidP="00E71696">
      <w:pPr>
        <w:sectPr w:rsidR="00D2400B" w:rsidRPr="00CC3FB2" w:rsidSect="007C6542">
          <w:pgSz w:w="11904" w:h="16836"/>
          <w:pgMar w:top="1440" w:right="1440" w:bottom="1440" w:left="1440" w:header="720" w:footer="153" w:gutter="0"/>
          <w:cols w:space="720"/>
          <w:vAlign w:val="center"/>
          <w:noEndnote/>
          <w:docGrid w:linePitch="299"/>
        </w:sectPr>
      </w:pPr>
      <w:r w:rsidRPr="00E87878">
        <w:rPr>
          <w:b/>
        </w:rPr>
        <w:t xml:space="preserve">H W </w:t>
      </w:r>
      <w:proofErr w:type="spellStart"/>
      <w:r w:rsidRPr="00E87878">
        <w:rPr>
          <w:b/>
        </w:rPr>
        <w:t>Triglone</w:t>
      </w:r>
      <w:proofErr w:type="spellEnd"/>
      <w:r w:rsidR="00910318" w:rsidRPr="00CC3FB2">
        <w:br/>
      </w:r>
      <w:r w:rsidRPr="00CC3FB2">
        <w:t>Chartered Accountant</w:t>
      </w:r>
    </w:p>
    <w:p w14:paraId="136ED176" w14:textId="5B71E205" w:rsidR="00D2400B" w:rsidRPr="0002535A" w:rsidRDefault="00E87878" w:rsidP="005132DB">
      <w:pPr>
        <w:pStyle w:val="Heading1"/>
        <w:rPr>
          <w:sz w:val="64"/>
          <w:szCs w:val="64"/>
        </w:rPr>
      </w:pPr>
      <w:bookmarkStart w:id="11" w:name="_Toc340406362"/>
      <w:r w:rsidRPr="0002535A">
        <w:rPr>
          <w:sz w:val="64"/>
          <w:szCs w:val="64"/>
        </w:rPr>
        <w:lastRenderedPageBreak/>
        <w:t>INDEPENDENT AUDITOR’S REPORT</w:t>
      </w:r>
      <w:r w:rsidRPr="0002535A">
        <w:rPr>
          <w:sz w:val="64"/>
          <w:szCs w:val="64"/>
        </w:rPr>
        <w:br/>
        <w:t>TO THE MEMBERS OF</w:t>
      </w:r>
      <w:r w:rsidRPr="0002535A">
        <w:rPr>
          <w:sz w:val="64"/>
          <w:szCs w:val="64"/>
        </w:rPr>
        <w:br/>
        <w:t>MEDIA ACCESS AUSTRALIA</w:t>
      </w:r>
      <w:bookmarkEnd w:id="11"/>
    </w:p>
    <w:p w14:paraId="0FEF8581" w14:textId="77777777" w:rsidR="00D2400B" w:rsidRPr="00E87878" w:rsidRDefault="00D2400B" w:rsidP="005132DB">
      <w:pPr>
        <w:pStyle w:val="Heading2"/>
      </w:pPr>
      <w:r w:rsidRPr="00E87878">
        <w:t>Report on the Financial Report</w:t>
      </w:r>
    </w:p>
    <w:p w14:paraId="789A192A" w14:textId="77777777" w:rsidR="00D2400B" w:rsidRPr="00CC3FB2" w:rsidRDefault="00D2400B" w:rsidP="00E71696">
      <w:r w:rsidRPr="00CC3FB2">
        <w:t xml:space="preserve">We have audited the accompanying financial report of Media Access Australia, which comprises the </w:t>
      </w:r>
      <w:r w:rsidR="00C336BD" w:rsidRPr="00CC3FB2">
        <w:t xml:space="preserve">balance sheet as at 30 June </w:t>
      </w:r>
      <w:r w:rsidR="00EF1D9F" w:rsidRPr="00CC3FB2">
        <w:t>2016</w:t>
      </w:r>
      <w:r w:rsidRPr="00CC3FB2">
        <w:t>, and statement of comprehensive income and statement of change in equity for the year ended on that date, a summary of significant accounting policies, other explanatory notes and the directors’ declaration.</w:t>
      </w:r>
    </w:p>
    <w:p w14:paraId="618CA2C8" w14:textId="77777777" w:rsidR="00E87878" w:rsidRPr="00E87878" w:rsidRDefault="00E87878" w:rsidP="005132DB">
      <w:pPr>
        <w:pStyle w:val="Heading2"/>
      </w:pPr>
      <w:r w:rsidRPr="00E87878">
        <w:t>Directors' Responsibility for the Financial Report</w:t>
      </w:r>
    </w:p>
    <w:p w14:paraId="6942915F" w14:textId="77777777" w:rsidR="00D2400B" w:rsidRPr="00CC3FB2" w:rsidRDefault="00D2400B" w:rsidP="00E71696">
      <w:r w:rsidRPr="00CC3FB2">
        <w:t xml:space="preserve">The directors of the company are responsible for the preparation and fair presentation of the financial report in accordance with Australian Accounting Standards (including the Australian Accounting Interpretations) and the </w:t>
      </w:r>
      <w:r w:rsidRPr="00CC3FB2">
        <w:rPr>
          <w:i/>
          <w:iCs/>
        </w:rPr>
        <w:t>Corporations Act 2001</w:t>
      </w:r>
      <w:r w:rsidRPr="00CC3FB2">
        <w:t>. This responsibility includes establishing and maintaining internal control relevant to the preparation and fair presentation of the financial report that is free from material misstatement, whether due to fraud or error; selecting and applying appropriate accounting policies; and making accounting estimates that are reasonable in the circumstances.</w:t>
      </w:r>
    </w:p>
    <w:p w14:paraId="11EABDF3" w14:textId="77777777" w:rsidR="00B66A8B" w:rsidRPr="00B66A8B" w:rsidRDefault="00B66A8B" w:rsidP="005132DB">
      <w:pPr>
        <w:pStyle w:val="Heading2"/>
      </w:pPr>
      <w:r w:rsidRPr="00B66A8B">
        <w:t>Auditor's Responsibility</w:t>
      </w:r>
    </w:p>
    <w:p w14:paraId="36C2A2D7" w14:textId="2A40339A" w:rsidR="00D2400B" w:rsidRPr="00CC3FB2" w:rsidRDefault="00D2400B" w:rsidP="00E71696">
      <w:r w:rsidRPr="00CC3FB2">
        <w:t>Our responsibility is to express an opinion on the financial report based on our audit. We conducted our audit in accordance with Australian Auditing Standards. These Auditing Standards require that we comply with relevant ethical requirements relating to audit engagements and plan and perform the audit to obtain reasonable assurance whether the financial report is free from material misstatement.</w:t>
      </w:r>
    </w:p>
    <w:p w14:paraId="6AE55B28" w14:textId="77777777" w:rsidR="00B66A8B" w:rsidRDefault="00B66A8B">
      <w:pPr>
        <w:spacing w:after="200"/>
        <w:ind w:right="0"/>
      </w:pPr>
      <w:r>
        <w:br w:type="page"/>
      </w:r>
    </w:p>
    <w:p w14:paraId="63EDE20D" w14:textId="7C087109" w:rsidR="00D2400B" w:rsidRPr="00CC3FB2" w:rsidRDefault="00D2400B" w:rsidP="00E71696">
      <w:r w:rsidRPr="00CC3FB2">
        <w:lastRenderedPageBreak/>
        <w:t>An audit involves performing procedures to obtain audit evidence about the amounts and disclosures in the financial report. The procedures selected depend on the auditor's judgment, including the assessment of the risks of material misstatement of the financial report, whether due to fraud or error. In making those risk assessments, the auditor considers internal control relevant to the entity's preparation and fair presentation of the financial report in order to design audit procedures that are appropriate in the circumstances, but not for the purpose of expressing an opinion on the effectiveness of the entity's internal control. An audit also includes evaluating the appropriateness of accounting policies used and the reasonableness of accounting estimates made by the directors, as well as evaluating the overall presentation of the financial report.</w:t>
      </w:r>
    </w:p>
    <w:p w14:paraId="5471554A" w14:textId="77777777" w:rsidR="00B66A8B" w:rsidRDefault="00D2400B" w:rsidP="00B66A8B">
      <w:r w:rsidRPr="00CC3FB2">
        <w:t>We believe that the audit evidence we have obtained is sufficient and appropriate to provide a basis for our audit opinion.</w:t>
      </w:r>
    </w:p>
    <w:p w14:paraId="5A13DE50" w14:textId="1AE1E787" w:rsidR="00D2400B" w:rsidRPr="00CC3FB2" w:rsidRDefault="00D2400B" w:rsidP="005132DB">
      <w:pPr>
        <w:pStyle w:val="Heading2"/>
      </w:pPr>
      <w:r w:rsidRPr="00CC3FB2">
        <w:t>Independence</w:t>
      </w:r>
    </w:p>
    <w:p w14:paraId="47448C90" w14:textId="77777777" w:rsidR="00D2400B" w:rsidRPr="00CC3FB2" w:rsidRDefault="00D2400B" w:rsidP="00E71696">
      <w:r w:rsidRPr="00CC3FB2">
        <w:t xml:space="preserve">In conducting our audit, we have complied with the independence requirements of the </w:t>
      </w:r>
      <w:r w:rsidRPr="00CC3FB2">
        <w:rPr>
          <w:i/>
          <w:iCs/>
        </w:rPr>
        <w:t>Corporations Act 2001</w:t>
      </w:r>
      <w:r w:rsidRPr="00CC3FB2">
        <w:t xml:space="preserve">. We confirm that the independence declaration required by the </w:t>
      </w:r>
      <w:r w:rsidRPr="00CC3FB2">
        <w:rPr>
          <w:i/>
          <w:iCs/>
        </w:rPr>
        <w:t>Corporations Act 2001</w:t>
      </w:r>
      <w:r w:rsidRPr="00CC3FB2">
        <w:t>, provided to the directors of Media Access Australia</w:t>
      </w:r>
      <w:r w:rsidR="00C336BD" w:rsidRPr="00CC3FB2">
        <w:t xml:space="preserve"> on </w:t>
      </w:r>
      <w:r w:rsidR="009B194A" w:rsidRPr="00CC3FB2">
        <w:t>10 November</w:t>
      </w:r>
      <w:r w:rsidR="00C336BD" w:rsidRPr="00CC3FB2">
        <w:t xml:space="preserve"> </w:t>
      </w:r>
      <w:r w:rsidR="00EF1D9F" w:rsidRPr="00CC3FB2">
        <w:t>2016</w:t>
      </w:r>
      <w:r w:rsidRPr="00CC3FB2">
        <w:t xml:space="preserve"> would be in the same terms if provided to the directors as at the date of this auditor's report.</w:t>
      </w:r>
    </w:p>
    <w:p w14:paraId="2BD14090" w14:textId="77777777" w:rsidR="00D2400B" w:rsidRPr="00CC3FB2" w:rsidRDefault="00D2400B" w:rsidP="005132DB">
      <w:pPr>
        <w:pStyle w:val="Heading2"/>
      </w:pPr>
      <w:r w:rsidRPr="00CC3FB2">
        <w:t>Auditor's Opinion</w:t>
      </w:r>
    </w:p>
    <w:p w14:paraId="33CA9E7E" w14:textId="0FA90739" w:rsidR="00D2400B" w:rsidRPr="00CC3FB2" w:rsidRDefault="00D2400B" w:rsidP="00E71696">
      <w:r w:rsidRPr="00CC3FB2">
        <w:t xml:space="preserve">In our opinion the financial report of Media Access Australia is in accordance with the </w:t>
      </w:r>
      <w:r w:rsidRPr="00CC3FB2">
        <w:rPr>
          <w:i/>
          <w:iCs/>
        </w:rPr>
        <w:t>Corporations Act 2001</w:t>
      </w:r>
      <w:r w:rsidRPr="00CC3FB2">
        <w:t>, including:</w:t>
      </w:r>
    </w:p>
    <w:p w14:paraId="7F2F0C67" w14:textId="6286C61C" w:rsidR="00D2400B" w:rsidRPr="00CC3FB2" w:rsidRDefault="00D2400B" w:rsidP="007B1908">
      <w:pPr>
        <w:pStyle w:val="ListParagraph"/>
        <w:numPr>
          <w:ilvl w:val="0"/>
          <w:numId w:val="7"/>
        </w:numPr>
        <w:ind w:left="709"/>
      </w:pPr>
      <w:r w:rsidRPr="00CC3FB2">
        <w:t>giving a true and fair view of the company’s finan</w:t>
      </w:r>
      <w:r w:rsidR="00C336BD" w:rsidRPr="00CC3FB2">
        <w:t xml:space="preserve">cial position as at 30 June </w:t>
      </w:r>
      <w:r w:rsidR="00EF1D9F" w:rsidRPr="00CC3FB2">
        <w:t>2016</w:t>
      </w:r>
      <w:r w:rsidRPr="00CC3FB2">
        <w:t xml:space="preserve"> and of its performance for the year on that date; and</w:t>
      </w:r>
      <w:r w:rsidR="007B1908">
        <w:br/>
      </w:r>
    </w:p>
    <w:p w14:paraId="4AFBDA4E" w14:textId="77777777" w:rsidR="00D2400B" w:rsidRPr="00CC3FB2" w:rsidRDefault="00D2400B" w:rsidP="007B1908">
      <w:pPr>
        <w:pStyle w:val="ListParagraph"/>
        <w:numPr>
          <w:ilvl w:val="0"/>
          <w:numId w:val="7"/>
        </w:numPr>
        <w:ind w:left="709"/>
      </w:pPr>
      <w:proofErr w:type="gramStart"/>
      <w:r w:rsidRPr="00CC3FB2">
        <w:t>complying</w:t>
      </w:r>
      <w:proofErr w:type="gramEnd"/>
      <w:r w:rsidRPr="00CC3FB2">
        <w:t xml:space="preserve"> with Australian Accounting Standards (including the Australian Accounting Interpretations) and the Corporations Regulations 2001.</w:t>
      </w:r>
    </w:p>
    <w:p w14:paraId="42A6B00C" w14:textId="77777777" w:rsidR="005A23E5" w:rsidRDefault="005A23E5" w:rsidP="00E71696">
      <w:pPr>
        <w:rPr>
          <w:b/>
        </w:rPr>
        <w:sectPr w:rsidR="005A23E5" w:rsidSect="007C6542">
          <w:footerReference w:type="default" r:id="rId26"/>
          <w:pgSz w:w="11906" w:h="16838"/>
          <w:pgMar w:top="1440" w:right="1440" w:bottom="1440" w:left="1440" w:header="454" w:footer="454" w:gutter="0"/>
          <w:cols w:space="708"/>
          <w:vAlign w:val="center"/>
          <w:docGrid w:linePitch="360"/>
        </w:sectPr>
      </w:pPr>
    </w:p>
    <w:p w14:paraId="3E2593DF" w14:textId="77777777" w:rsidR="005A23E5" w:rsidRDefault="005A23E5" w:rsidP="00E71696">
      <w:pPr>
        <w:rPr>
          <w:b/>
        </w:rPr>
      </w:pPr>
    </w:p>
    <w:p w14:paraId="1273B923" w14:textId="77777777" w:rsidR="007B1908" w:rsidRDefault="00D2400B" w:rsidP="00E71696">
      <w:pPr>
        <w:rPr>
          <w:b/>
        </w:rPr>
      </w:pPr>
      <w:r w:rsidRPr="007B1908">
        <w:rPr>
          <w:b/>
        </w:rPr>
        <w:t xml:space="preserve">Adams </w:t>
      </w:r>
      <w:proofErr w:type="spellStart"/>
      <w:r w:rsidRPr="007B1908">
        <w:rPr>
          <w:b/>
        </w:rPr>
        <w:t>Triglone</w:t>
      </w:r>
      <w:proofErr w:type="spellEnd"/>
      <w:r w:rsidRPr="007B1908">
        <w:rPr>
          <w:b/>
        </w:rPr>
        <w:tab/>
      </w:r>
    </w:p>
    <w:p w14:paraId="43EBDFA4" w14:textId="77777777" w:rsidR="007B1908" w:rsidRDefault="007B1908" w:rsidP="00E71696">
      <w:pPr>
        <w:rPr>
          <w:b/>
        </w:rPr>
      </w:pPr>
      <w:r w:rsidRPr="00CC3FB2">
        <w:t>Chartered Accountants</w:t>
      </w:r>
      <w:r>
        <w:rPr>
          <w:b/>
        </w:rPr>
        <w:t xml:space="preserve"> </w:t>
      </w:r>
    </w:p>
    <w:p w14:paraId="5C03C9B6" w14:textId="77777777" w:rsidR="007B1908" w:rsidRDefault="007B1908" w:rsidP="007B1908">
      <w:r w:rsidRPr="00CC3FB2">
        <w:t>Baulkham Hills</w:t>
      </w:r>
    </w:p>
    <w:p w14:paraId="68A1BB36" w14:textId="4630028D" w:rsidR="005A23E5" w:rsidRDefault="007B1908" w:rsidP="00E71696">
      <w:pPr>
        <w:rPr>
          <w:b/>
        </w:rPr>
      </w:pPr>
      <w:r>
        <w:rPr>
          <w:b/>
        </w:rPr>
        <w:br w:type="column"/>
      </w:r>
      <w:r w:rsidR="001413B1">
        <w:rPr>
          <w:b/>
          <w:noProof/>
          <w:lang w:eastAsia="en-AU"/>
        </w:rPr>
        <w:lastRenderedPageBreak/>
        <w:drawing>
          <wp:inline distT="0" distB="0" distL="0" distR="0" wp14:anchorId="12F21813" wp14:editId="046F8C3C">
            <wp:extent cx="1598930" cy="901537"/>
            <wp:effectExtent l="0" t="0" r="1270" b="0"/>
            <wp:docPr id="15" name="Picture 1" descr="Signa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a:extLst>
                        <a:ext uri="{28A0092B-C50C-407E-A947-70E740481C1C}">
                          <a14:useLocalDpi xmlns:a14="http://schemas.microsoft.com/office/drawing/2010/main" val="0"/>
                        </a:ext>
                      </a:extLst>
                    </a:blip>
                    <a:srcRect t="-4062" b="7921"/>
                    <a:stretch/>
                  </pic:blipFill>
                  <pic:spPr bwMode="auto">
                    <a:xfrm>
                      <a:off x="0" y="0"/>
                      <a:ext cx="1600200" cy="902253"/>
                    </a:xfrm>
                    <a:prstGeom prst="rect">
                      <a:avLst/>
                    </a:prstGeom>
                    <a:noFill/>
                    <a:ln>
                      <a:noFill/>
                    </a:ln>
                    <a:extLst>
                      <a:ext uri="{53640926-AAD7-44D8-BBD7-CCE9431645EC}">
                        <a14:shadowObscured xmlns:a14="http://schemas.microsoft.com/office/drawing/2010/main"/>
                      </a:ext>
                    </a:extLst>
                  </pic:spPr>
                </pic:pic>
              </a:graphicData>
            </a:graphic>
          </wp:inline>
        </w:drawing>
      </w:r>
    </w:p>
    <w:p w14:paraId="15BF7BF5" w14:textId="2CDE564E" w:rsidR="00D2400B" w:rsidRPr="007B1908" w:rsidRDefault="00D2400B" w:rsidP="00E71696">
      <w:pPr>
        <w:rPr>
          <w:b/>
        </w:rPr>
      </w:pPr>
      <w:r w:rsidRPr="007B1908">
        <w:rPr>
          <w:b/>
        </w:rPr>
        <w:t xml:space="preserve">H W </w:t>
      </w:r>
      <w:proofErr w:type="spellStart"/>
      <w:r w:rsidRPr="007B1908">
        <w:rPr>
          <w:b/>
        </w:rPr>
        <w:t>Triglone</w:t>
      </w:r>
      <w:proofErr w:type="spellEnd"/>
    </w:p>
    <w:p w14:paraId="6E0317AE" w14:textId="185E203D" w:rsidR="00D2400B" w:rsidRPr="00CC3FB2" w:rsidRDefault="00D2400B" w:rsidP="00E71696">
      <w:r w:rsidRPr="00CC3FB2">
        <w:t>Partner</w:t>
      </w:r>
    </w:p>
    <w:p w14:paraId="20117D6B" w14:textId="77777777" w:rsidR="007B1908" w:rsidRDefault="007B1908" w:rsidP="00E71696">
      <w:pPr>
        <w:sectPr w:rsidR="007B1908" w:rsidSect="007C6542">
          <w:type w:val="continuous"/>
          <w:pgSz w:w="11906" w:h="16838"/>
          <w:pgMar w:top="1440" w:right="1440" w:bottom="1440" w:left="1440" w:header="454" w:footer="454" w:gutter="0"/>
          <w:cols w:num="2" w:space="708"/>
          <w:vAlign w:val="center"/>
          <w:docGrid w:linePitch="360"/>
        </w:sectPr>
      </w:pPr>
    </w:p>
    <w:p w14:paraId="0E800935" w14:textId="118B1781" w:rsidR="007B1908" w:rsidRPr="00CC3FB2" w:rsidRDefault="007B1908" w:rsidP="00E71696"/>
    <w:p w14:paraId="133E703A" w14:textId="120612A4" w:rsidR="005A23E5" w:rsidRDefault="00D2400B" w:rsidP="00E71696">
      <w:r w:rsidRPr="00CC3FB2">
        <w:t>Dated this</w:t>
      </w:r>
      <w:r w:rsidR="00207A92">
        <w:t xml:space="preserve"> </w:t>
      </w:r>
      <w:r w:rsidR="001413B1">
        <w:t>22</w:t>
      </w:r>
      <w:r w:rsidR="001413B1">
        <w:rPr>
          <w:vertAlign w:val="superscript"/>
        </w:rPr>
        <w:t>nd</w:t>
      </w:r>
      <w:r w:rsidR="007B1908">
        <w:t xml:space="preserve"> November 2016</w:t>
      </w:r>
    </w:p>
    <w:p w14:paraId="6F837317" w14:textId="77777777" w:rsidR="005A23E5" w:rsidRDefault="005A23E5">
      <w:pPr>
        <w:spacing w:after="200"/>
        <w:ind w:right="0"/>
      </w:pPr>
      <w:r>
        <w:br w:type="page"/>
      </w:r>
    </w:p>
    <w:p w14:paraId="64C1E33C" w14:textId="77777777" w:rsidR="005A23E5" w:rsidRPr="009520DE" w:rsidRDefault="005A23E5" w:rsidP="005A23E5">
      <w:pPr>
        <w:pStyle w:val="Title"/>
        <w:jc w:val="center"/>
        <w:rPr>
          <w:rFonts w:ascii="Klavika Light" w:hAnsi="Klavika Light"/>
          <w:sz w:val="72"/>
        </w:rPr>
      </w:pPr>
      <w:r w:rsidRPr="009520DE">
        <w:rPr>
          <w:rFonts w:ascii="Klavika Light" w:hAnsi="Klavika Light"/>
          <w:sz w:val="72"/>
        </w:rPr>
        <w:lastRenderedPageBreak/>
        <w:t>MEDIA ACCESS AUSTRALIA</w:t>
      </w:r>
    </w:p>
    <w:p w14:paraId="7D3765EF" w14:textId="77777777" w:rsidR="005A23E5" w:rsidRPr="009520DE" w:rsidRDefault="005A23E5" w:rsidP="005A23E5">
      <w:pPr>
        <w:jc w:val="center"/>
        <w:rPr>
          <w:b/>
          <w:sz w:val="24"/>
          <w:lang w:val="es-ES_tradnl"/>
        </w:rPr>
      </w:pPr>
      <w:r w:rsidRPr="009520DE">
        <w:rPr>
          <w:b/>
          <w:sz w:val="24"/>
          <w:lang w:val="es-ES_tradnl"/>
        </w:rPr>
        <w:t xml:space="preserve">ABN </w:t>
      </w:r>
      <w:r w:rsidRPr="009520DE">
        <w:rPr>
          <w:sz w:val="24"/>
          <w:lang w:val="es-ES_tradnl"/>
        </w:rPr>
        <w:t>75 002 259 154</w:t>
      </w:r>
    </w:p>
    <w:p w14:paraId="4A0A2C04" w14:textId="77777777" w:rsidR="00D3165E" w:rsidRDefault="00D3165E" w:rsidP="004D0D34">
      <w:pPr>
        <w:pStyle w:val="BasicParagraph"/>
        <w:spacing w:before="8880"/>
        <w:jc w:val="right"/>
        <w:rPr>
          <w:rFonts w:asciiTheme="minorHAnsi" w:hAnsiTheme="minorHAnsi" w:cstheme="minorHAnsi"/>
          <w:szCs w:val="36"/>
        </w:rPr>
      </w:pPr>
    </w:p>
    <w:p w14:paraId="0313FC6C" w14:textId="77777777" w:rsidR="005A23E5" w:rsidRPr="005A23E5" w:rsidRDefault="005A23E5" w:rsidP="005A23E5">
      <w:pPr>
        <w:pStyle w:val="BasicParagraph"/>
        <w:jc w:val="right"/>
        <w:rPr>
          <w:rFonts w:asciiTheme="minorHAnsi" w:hAnsiTheme="minorHAnsi" w:cstheme="minorHAnsi"/>
          <w:szCs w:val="36"/>
        </w:rPr>
      </w:pPr>
      <w:r w:rsidRPr="005A23E5">
        <w:rPr>
          <w:rFonts w:asciiTheme="minorHAnsi" w:hAnsiTheme="minorHAnsi" w:cstheme="minorHAnsi"/>
          <w:szCs w:val="36"/>
        </w:rPr>
        <w:t>Level 3 / 616-620 Harris St</w:t>
      </w:r>
    </w:p>
    <w:p w14:paraId="30C76E69" w14:textId="77777777" w:rsidR="005A23E5" w:rsidRPr="005A23E5" w:rsidRDefault="005A23E5" w:rsidP="005A23E5">
      <w:pPr>
        <w:pStyle w:val="BasicParagraph"/>
        <w:jc w:val="right"/>
        <w:rPr>
          <w:rFonts w:asciiTheme="minorHAnsi" w:hAnsiTheme="minorHAnsi" w:cstheme="minorHAnsi"/>
          <w:szCs w:val="36"/>
        </w:rPr>
      </w:pPr>
      <w:r w:rsidRPr="005A23E5">
        <w:rPr>
          <w:rFonts w:asciiTheme="minorHAnsi" w:hAnsiTheme="minorHAnsi" w:cstheme="minorHAnsi"/>
          <w:szCs w:val="36"/>
        </w:rPr>
        <w:t>ULTIMO NSW 2007</w:t>
      </w:r>
    </w:p>
    <w:p w14:paraId="6DE38E4E" w14:textId="77777777" w:rsidR="005A23E5" w:rsidRPr="005A23E5" w:rsidRDefault="005A23E5" w:rsidP="005A23E5">
      <w:pPr>
        <w:pStyle w:val="BasicParagraph"/>
        <w:jc w:val="right"/>
        <w:rPr>
          <w:rFonts w:asciiTheme="minorHAnsi" w:hAnsiTheme="minorHAnsi" w:cstheme="minorHAnsi"/>
          <w:szCs w:val="36"/>
        </w:rPr>
      </w:pPr>
      <w:r w:rsidRPr="005A23E5">
        <w:rPr>
          <w:rFonts w:asciiTheme="minorHAnsi" w:hAnsiTheme="minorHAnsi" w:cstheme="minorHAnsi"/>
          <w:szCs w:val="36"/>
        </w:rPr>
        <w:t>P 02 9212 6244</w:t>
      </w:r>
    </w:p>
    <w:p w14:paraId="29CFD0B9" w14:textId="4DD74736" w:rsidR="002E40EE" w:rsidRPr="005A23E5" w:rsidRDefault="005A23E5" w:rsidP="005A23E5">
      <w:pPr>
        <w:jc w:val="right"/>
        <w:rPr>
          <w:rFonts w:cstheme="minorHAnsi"/>
          <w:sz w:val="16"/>
        </w:rPr>
      </w:pPr>
      <w:r w:rsidRPr="005A23E5">
        <w:rPr>
          <w:rFonts w:cstheme="minorHAnsi"/>
          <w:sz w:val="24"/>
          <w:szCs w:val="36"/>
        </w:rPr>
        <w:t>mediaaccess.org.au</w:t>
      </w:r>
    </w:p>
    <w:sectPr w:rsidR="002E40EE" w:rsidRPr="005A23E5" w:rsidSect="007C6542">
      <w:type w:val="continuous"/>
      <w:pgSz w:w="11906" w:h="16838"/>
      <w:pgMar w:top="1440" w:right="1440" w:bottom="1440" w:left="1440" w:header="454" w:footer="454"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6D79A" w14:textId="77777777" w:rsidR="00CE710C" w:rsidRDefault="00CE710C" w:rsidP="00E71696">
      <w:r>
        <w:separator/>
      </w:r>
    </w:p>
  </w:endnote>
  <w:endnote w:type="continuationSeparator" w:id="0">
    <w:p w14:paraId="3B52A9E9" w14:textId="77777777" w:rsidR="00CE710C" w:rsidRDefault="00CE710C" w:rsidP="00E7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Klavika Light">
    <w:altName w:val="Franklin Gothic Medium Cond"/>
    <w:charset w:val="00"/>
    <w:family w:val="auto"/>
    <w:pitch w:val="variable"/>
    <w:sig w:usb0="00000001" w:usb1="5000204A" w:usb2="00000000" w:usb3="00000000" w:csb0="0000009F" w:csb1="00000000"/>
  </w:font>
  <w:font w:name="Hanken Book">
    <w:altName w:val="Times New Roman"/>
    <w:charset w:val="00"/>
    <w:family w:val="auto"/>
    <w:pitch w:val="variable"/>
    <w:sig w:usb0="00000001" w:usb1="00002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rPr>
      <w:id w:val="-685836339"/>
      <w:docPartObj>
        <w:docPartGallery w:val="Page Numbers (Bottom of Page)"/>
        <w:docPartUnique/>
      </w:docPartObj>
    </w:sdtPr>
    <w:sdtEndPr>
      <w:rPr>
        <w:noProof/>
      </w:rPr>
    </w:sdtEndPr>
    <w:sdtContent>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861"/>
        </w:tblGrid>
        <w:tr w:rsidR="00CE710C" w14:paraId="6059586B" w14:textId="77777777" w:rsidTr="00EE6DB0">
          <w:trPr>
            <w:cnfStyle w:val="100000000000" w:firstRow="1" w:lastRow="0" w:firstColumn="0" w:lastColumn="0" w:oddVBand="0" w:evenVBand="0" w:oddHBand="0" w:evenHBand="0" w:firstRowFirstColumn="0" w:firstRowLastColumn="0" w:lastRowFirstColumn="0" w:lastRowLastColumn="0"/>
          </w:trPr>
          <w:tc>
            <w:tcPr>
              <w:tcW w:w="4603" w:type="dxa"/>
              <w:vAlign w:val="bottom"/>
            </w:tcPr>
            <w:p w14:paraId="52A129CC" w14:textId="77777777" w:rsidR="00CE710C" w:rsidRDefault="00CE710C" w:rsidP="00E71696">
              <w:pPr>
                <w:pStyle w:val="Footer"/>
              </w:pPr>
              <w:r>
                <w:rPr>
                  <w:noProof/>
                  <w:lang w:val="en-AU" w:eastAsia="en-AU"/>
                </w:rPr>
                <w:drawing>
                  <wp:inline distT="0" distB="0" distL="0" distR="0" wp14:anchorId="23A920B7" wp14:editId="2A58C102">
                    <wp:extent cx="1234578" cy="648000"/>
                    <wp:effectExtent l="0" t="0" r="3810" b="0"/>
                    <wp:docPr id="8" name="Picture 8" descr="Media Access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ternal.png"/>
                            <pic:cNvPicPr/>
                          </pic:nvPicPr>
                          <pic:blipFill>
                            <a:blip r:embed="rId1">
                              <a:extLst>
                                <a:ext uri="{28A0092B-C50C-407E-A947-70E740481C1C}">
                                  <a14:useLocalDpi xmlns:a14="http://schemas.microsoft.com/office/drawing/2010/main" val="0"/>
                                </a:ext>
                              </a:extLst>
                            </a:blip>
                            <a:stretch>
                              <a:fillRect/>
                            </a:stretch>
                          </pic:blipFill>
                          <pic:spPr>
                            <a:xfrm>
                              <a:off x="0" y="0"/>
                              <a:ext cx="1234578" cy="648000"/>
                            </a:xfrm>
                            <a:prstGeom prst="rect">
                              <a:avLst/>
                            </a:prstGeom>
                          </pic:spPr>
                        </pic:pic>
                      </a:graphicData>
                    </a:graphic>
                  </wp:inline>
                </w:drawing>
              </w:r>
            </w:p>
          </w:tc>
          <w:tc>
            <w:tcPr>
              <w:tcW w:w="4861" w:type="dxa"/>
              <w:vAlign w:val="bottom"/>
            </w:tcPr>
            <w:p w14:paraId="0BCD5C44" w14:textId="77777777" w:rsidR="00CE710C" w:rsidRPr="00CF3218" w:rsidRDefault="00CE710C" w:rsidP="00E71696">
              <w:pPr>
                <w:pStyle w:val="Footer"/>
                <w:rPr>
                  <w:noProof/>
                  <w:lang w:eastAsia="en-AU"/>
                </w:rPr>
              </w:pPr>
              <w:r w:rsidRPr="00CF3218">
                <w:rPr>
                  <w:noProof/>
                  <w:lang w:eastAsia="en-AU"/>
                </w:rPr>
                <w:fldChar w:fldCharType="begin"/>
              </w:r>
              <w:r w:rsidRPr="00CF3218">
                <w:rPr>
                  <w:noProof/>
                  <w:lang w:eastAsia="en-AU"/>
                </w:rPr>
                <w:instrText xml:space="preserve"> PAGE   \* MERGEFORMAT </w:instrText>
              </w:r>
              <w:r w:rsidRPr="00CF3218">
                <w:rPr>
                  <w:noProof/>
                  <w:lang w:eastAsia="en-AU"/>
                </w:rPr>
                <w:fldChar w:fldCharType="separate"/>
              </w:r>
              <w:r w:rsidR="00820C54">
                <w:rPr>
                  <w:noProof/>
                  <w:lang w:eastAsia="en-AU"/>
                </w:rPr>
                <w:t>6</w:t>
              </w:r>
              <w:r w:rsidRPr="00CF3218">
                <w:rPr>
                  <w:noProof/>
                  <w:lang w:eastAsia="en-AU"/>
                </w:rPr>
                <w:fldChar w:fldCharType="end"/>
              </w:r>
            </w:p>
          </w:tc>
        </w:tr>
      </w:tbl>
      <w:p w14:paraId="5EA1F828" w14:textId="77777777" w:rsidR="00CE710C" w:rsidRDefault="00CE710C" w:rsidP="00E71696">
        <w:pPr>
          <w:pStyle w:val="Footer"/>
        </w:pPr>
      </w:p>
    </w:sdtContent>
  </w:sdt>
  <w:p w14:paraId="06B9F6F8" w14:textId="77777777" w:rsidR="00CE710C" w:rsidRPr="00164128" w:rsidRDefault="00CE710C" w:rsidP="00E71696">
    <w:pPr>
      <w:pStyle w:val="1pixe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rPr>
      <w:id w:val="-311790333"/>
      <w:docPartObj>
        <w:docPartGallery w:val="Page Numbers (Bottom of Page)"/>
        <w:docPartUnique/>
      </w:docPartObj>
    </w:sdtPr>
    <w:sdtEndPr>
      <w:rPr>
        <w:noProof/>
      </w:rPr>
    </w:sdtEndPr>
    <w:sdtContent>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861"/>
        </w:tblGrid>
        <w:tr w:rsidR="00CE710C" w14:paraId="5881CDBA" w14:textId="77777777" w:rsidTr="00EE6DB0">
          <w:trPr>
            <w:cnfStyle w:val="100000000000" w:firstRow="1" w:lastRow="0" w:firstColumn="0" w:lastColumn="0" w:oddVBand="0" w:evenVBand="0" w:oddHBand="0" w:evenHBand="0" w:firstRowFirstColumn="0" w:firstRowLastColumn="0" w:lastRowFirstColumn="0" w:lastRowLastColumn="0"/>
          </w:trPr>
          <w:tc>
            <w:tcPr>
              <w:tcW w:w="4603" w:type="dxa"/>
              <w:vAlign w:val="bottom"/>
            </w:tcPr>
            <w:p w14:paraId="7E5DD0D7" w14:textId="77777777" w:rsidR="00CE710C" w:rsidRDefault="00CE710C" w:rsidP="00E71696">
              <w:pPr>
                <w:pStyle w:val="Footer"/>
              </w:pPr>
              <w:r>
                <w:rPr>
                  <w:noProof/>
                  <w:lang w:val="en-AU" w:eastAsia="en-AU"/>
                </w:rPr>
                <w:drawing>
                  <wp:inline distT="0" distB="0" distL="0" distR="0" wp14:anchorId="29F129DE" wp14:editId="6810BA5F">
                    <wp:extent cx="1234578" cy="648000"/>
                    <wp:effectExtent l="0" t="0" r="3810" b="0"/>
                    <wp:docPr id="2" name="Picture 2" descr="Media Access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ternal.png"/>
                            <pic:cNvPicPr/>
                          </pic:nvPicPr>
                          <pic:blipFill>
                            <a:blip r:embed="rId1">
                              <a:extLst>
                                <a:ext uri="{28A0092B-C50C-407E-A947-70E740481C1C}">
                                  <a14:useLocalDpi xmlns:a14="http://schemas.microsoft.com/office/drawing/2010/main" val="0"/>
                                </a:ext>
                              </a:extLst>
                            </a:blip>
                            <a:stretch>
                              <a:fillRect/>
                            </a:stretch>
                          </pic:blipFill>
                          <pic:spPr>
                            <a:xfrm>
                              <a:off x="0" y="0"/>
                              <a:ext cx="1234578" cy="648000"/>
                            </a:xfrm>
                            <a:prstGeom prst="rect">
                              <a:avLst/>
                            </a:prstGeom>
                          </pic:spPr>
                        </pic:pic>
                      </a:graphicData>
                    </a:graphic>
                  </wp:inline>
                </w:drawing>
              </w:r>
            </w:p>
          </w:tc>
          <w:tc>
            <w:tcPr>
              <w:tcW w:w="4861" w:type="dxa"/>
              <w:vAlign w:val="bottom"/>
            </w:tcPr>
            <w:p w14:paraId="7021B74C" w14:textId="77777777" w:rsidR="00CE710C" w:rsidRPr="00CF3218" w:rsidRDefault="00CE710C" w:rsidP="00E71696">
              <w:pPr>
                <w:pStyle w:val="Footer"/>
                <w:rPr>
                  <w:noProof/>
                  <w:lang w:eastAsia="en-AU"/>
                </w:rPr>
              </w:pPr>
              <w:r w:rsidRPr="00CF3218">
                <w:rPr>
                  <w:noProof/>
                  <w:lang w:eastAsia="en-AU"/>
                </w:rPr>
                <w:fldChar w:fldCharType="begin"/>
              </w:r>
              <w:r w:rsidRPr="00CF3218">
                <w:rPr>
                  <w:noProof/>
                  <w:lang w:eastAsia="en-AU"/>
                </w:rPr>
                <w:instrText xml:space="preserve"> PAGE   \* MERGEFORMAT </w:instrText>
              </w:r>
              <w:r w:rsidRPr="00CF3218">
                <w:rPr>
                  <w:noProof/>
                  <w:lang w:eastAsia="en-AU"/>
                </w:rPr>
                <w:fldChar w:fldCharType="separate"/>
              </w:r>
              <w:r w:rsidR="00820C54">
                <w:rPr>
                  <w:noProof/>
                  <w:lang w:eastAsia="en-AU"/>
                </w:rPr>
                <w:t>38</w:t>
              </w:r>
              <w:r w:rsidRPr="00CF3218">
                <w:rPr>
                  <w:noProof/>
                  <w:lang w:eastAsia="en-AU"/>
                </w:rPr>
                <w:fldChar w:fldCharType="end"/>
              </w:r>
            </w:p>
          </w:tc>
        </w:tr>
      </w:tbl>
      <w:p w14:paraId="06BE40CD" w14:textId="77777777" w:rsidR="00CE710C" w:rsidRDefault="00CE710C" w:rsidP="00E71696">
        <w:pPr>
          <w:pStyle w:val="Footer"/>
        </w:pPr>
      </w:p>
    </w:sdtContent>
  </w:sdt>
  <w:p w14:paraId="4BC89EFC" w14:textId="77777777" w:rsidR="00CE710C" w:rsidRPr="00164128" w:rsidRDefault="00CE710C" w:rsidP="00E71696">
    <w:pPr>
      <w:pStyle w:val="1pixe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861"/>
    </w:tblGrid>
    <w:tr w:rsidR="00CE710C" w14:paraId="0185EA41" w14:textId="77777777" w:rsidTr="00134384">
      <w:trPr>
        <w:cnfStyle w:val="100000000000" w:firstRow="1" w:lastRow="0" w:firstColumn="0" w:lastColumn="0" w:oddVBand="0" w:evenVBand="0" w:oddHBand="0" w:evenHBand="0" w:firstRowFirstColumn="0" w:firstRowLastColumn="0" w:lastRowFirstColumn="0" w:lastRowLastColumn="0"/>
      </w:trPr>
      <w:tc>
        <w:tcPr>
          <w:tcW w:w="4603" w:type="dxa"/>
          <w:vAlign w:val="bottom"/>
        </w:tcPr>
        <w:p w14:paraId="010D6696" w14:textId="77777777" w:rsidR="00CE710C" w:rsidRDefault="00CE710C" w:rsidP="00E71696">
          <w:pPr>
            <w:pStyle w:val="Footer"/>
          </w:pPr>
          <w:r>
            <w:rPr>
              <w:noProof/>
              <w:lang w:val="en-AU" w:eastAsia="en-AU"/>
            </w:rPr>
            <w:drawing>
              <wp:inline distT="0" distB="0" distL="0" distR="0" wp14:anchorId="60FBC639" wp14:editId="35F05FE2">
                <wp:extent cx="1234578" cy="64800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ternal.png"/>
                        <pic:cNvPicPr/>
                      </pic:nvPicPr>
                      <pic:blipFill>
                        <a:blip r:embed="rId1">
                          <a:extLst>
                            <a:ext uri="{28A0092B-C50C-407E-A947-70E740481C1C}">
                              <a14:useLocalDpi xmlns:a14="http://schemas.microsoft.com/office/drawing/2010/main" val="0"/>
                            </a:ext>
                          </a:extLst>
                        </a:blip>
                        <a:stretch>
                          <a:fillRect/>
                        </a:stretch>
                      </pic:blipFill>
                      <pic:spPr>
                        <a:xfrm>
                          <a:off x="0" y="0"/>
                          <a:ext cx="1234578" cy="648000"/>
                        </a:xfrm>
                        <a:prstGeom prst="rect">
                          <a:avLst/>
                        </a:prstGeom>
                      </pic:spPr>
                    </pic:pic>
                  </a:graphicData>
                </a:graphic>
              </wp:inline>
            </w:drawing>
          </w:r>
        </w:p>
      </w:tc>
      <w:tc>
        <w:tcPr>
          <w:tcW w:w="4861" w:type="dxa"/>
          <w:vAlign w:val="bottom"/>
        </w:tcPr>
        <w:p w14:paraId="7A253C44" w14:textId="77777777" w:rsidR="00CE710C" w:rsidRPr="00CF3218" w:rsidRDefault="00CE710C" w:rsidP="00E71696">
          <w:pPr>
            <w:pStyle w:val="Footer"/>
            <w:rPr>
              <w:noProof/>
              <w:lang w:eastAsia="en-AU"/>
            </w:rPr>
          </w:pPr>
          <w:r w:rsidRPr="00CF3218">
            <w:rPr>
              <w:noProof/>
              <w:lang w:eastAsia="en-AU"/>
            </w:rPr>
            <w:fldChar w:fldCharType="begin"/>
          </w:r>
          <w:r w:rsidRPr="00CF3218">
            <w:rPr>
              <w:noProof/>
              <w:lang w:eastAsia="en-AU"/>
            </w:rPr>
            <w:instrText xml:space="preserve"> PAGE   \* MERGEFORMAT </w:instrText>
          </w:r>
          <w:r w:rsidRPr="00CF3218">
            <w:rPr>
              <w:noProof/>
              <w:lang w:eastAsia="en-AU"/>
            </w:rPr>
            <w:fldChar w:fldCharType="separate"/>
          </w:r>
          <w:r w:rsidR="00820C54">
            <w:rPr>
              <w:noProof/>
              <w:lang w:eastAsia="en-AU"/>
            </w:rPr>
            <w:t>41</w:t>
          </w:r>
          <w:r w:rsidRPr="00CF3218">
            <w:rPr>
              <w:noProof/>
              <w:lang w:eastAsia="en-AU"/>
            </w:rPr>
            <w:fldChar w:fldCharType="end"/>
          </w:r>
        </w:p>
      </w:tc>
    </w:tr>
  </w:tbl>
  <w:p w14:paraId="09786DB3" w14:textId="77777777" w:rsidR="00CE710C" w:rsidRPr="00CF3218" w:rsidRDefault="00CE710C" w:rsidP="00E71696">
    <w:pPr>
      <w:pStyle w:val="1pixe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1EC77" w14:textId="77777777" w:rsidR="00CE710C" w:rsidRDefault="00CE710C" w:rsidP="00E71696">
      <w:r>
        <w:separator/>
      </w:r>
    </w:p>
  </w:footnote>
  <w:footnote w:type="continuationSeparator" w:id="0">
    <w:p w14:paraId="507C6A74" w14:textId="77777777" w:rsidR="00CE710C" w:rsidRDefault="00CE710C" w:rsidP="00E71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E0612" w14:textId="62EEFB43" w:rsidR="00CE710C" w:rsidRDefault="00CE710C" w:rsidP="00E71696">
    <w:pPr>
      <w:jc w:val="center"/>
    </w:pPr>
    <w:r w:rsidRPr="00D2400B">
      <w:t>MEDIA ACCESS AUSTRALIA</w:t>
    </w:r>
    <w:r w:rsidRPr="00D2400B">
      <w:br/>
    </w:r>
    <w:r w:rsidRPr="00D2400B">
      <w:rPr>
        <w:sz w:val="24"/>
        <w:szCs w:val="24"/>
      </w:rPr>
      <w:t>ABN 75 002 259 154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EE2"/>
    <w:multiLevelType w:val="multilevel"/>
    <w:tmpl w:val="1CBA4B04"/>
    <w:lvl w:ilvl="0">
      <w:start w:val="1"/>
      <w:numFmt w:val="decimal"/>
      <w:lvlText w:val="%1)"/>
      <w:lvlJc w:val="left"/>
      <w:pPr>
        <w:ind w:left="1800" w:hanging="360"/>
      </w:pPr>
    </w:lvl>
    <w:lvl w:ilvl="1">
      <w:start w:val="1"/>
      <w:numFmt w:val="lowerLetter"/>
      <w:lvlText w:val="%2)"/>
      <w:lvlJc w:val="left"/>
      <w:pPr>
        <w:ind w:left="2160" w:hanging="360"/>
      </w:pPr>
      <w:rPr>
        <w:sz w:val="32"/>
      </w:r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
    <w:nsid w:val="033E7FC2"/>
    <w:multiLevelType w:val="hybridMultilevel"/>
    <w:tmpl w:val="01B61F86"/>
    <w:lvl w:ilvl="0" w:tplc="D62C1288">
      <w:start w:val="1"/>
      <w:numFmt w:val="decimal"/>
      <w:lvlText w:val="%1."/>
      <w:lvlJc w:val="left"/>
      <w:pPr>
        <w:ind w:left="1725" w:hanging="555"/>
      </w:pPr>
      <w:rPr>
        <w:rFonts w:asciiTheme="minorHAnsi" w:hAnsiTheme="minorHAnsi" w:cstheme="minorHAnsi" w:hint="default"/>
        <w:b w:val="0"/>
        <w:sz w:val="36"/>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
    <w:nsid w:val="06B90665"/>
    <w:multiLevelType w:val="hybridMultilevel"/>
    <w:tmpl w:val="4D308D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7D2DDB"/>
    <w:multiLevelType w:val="hybridMultilevel"/>
    <w:tmpl w:val="AF109FA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
    <w:nsid w:val="09E427E4"/>
    <w:multiLevelType w:val="hybridMultilevel"/>
    <w:tmpl w:val="6DD63DFE"/>
    <w:lvl w:ilvl="0" w:tplc="D62C1288">
      <w:start w:val="1"/>
      <w:numFmt w:val="decimal"/>
      <w:lvlText w:val="%1."/>
      <w:lvlJc w:val="left"/>
      <w:pPr>
        <w:ind w:left="1725" w:hanging="555"/>
      </w:pPr>
      <w:rPr>
        <w:rFonts w:asciiTheme="minorHAnsi" w:hAnsiTheme="minorHAnsi" w:cstheme="minorHAnsi" w:hint="default"/>
        <w:b w:val="0"/>
        <w:sz w:val="36"/>
      </w:rPr>
    </w:lvl>
    <w:lvl w:ilvl="1" w:tplc="04090019">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5">
    <w:nsid w:val="0FB11B4A"/>
    <w:multiLevelType w:val="hybridMultilevel"/>
    <w:tmpl w:val="27B00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449A8"/>
    <w:multiLevelType w:val="hybridMultilevel"/>
    <w:tmpl w:val="DB04CE90"/>
    <w:lvl w:ilvl="0" w:tplc="D62C1288">
      <w:start w:val="1"/>
      <w:numFmt w:val="decimal"/>
      <w:lvlText w:val="%1."/>
      <w:lvlJc w:val="left"/>
      <w:pPr>
        <w:ind w:left="1275" w:hanging="555"/>
      </w:pPr>
      <w:rPr>
        <w:rFonts w:asciiTheme="minorHAnsi" w:hAnsiTheme="minorHAnsi" w:cstheme="minorHAnsi" w:hint="default"/>
        <w:b w:val="0"/>
        <w:sz w:val="36"/>
      </w:rPr>
    </w:lvl>
    <w:lvl w:ilvl="1" w:tplc="0C090019" w:tentative="1">
      <w:start w:val="1"/>
      <w:numFmt w:val="lowerLetter"/>
      <w:lvlText w:val="%2."/>
      <w:lvlJc w:val="left"/>
      <w:pPr>
        <w:ind w:left="990" w:hanging="360"/>
      </w:pPr>
    </w:lvl>
    <w:lvl w:ilvl="2" w:tplc="0C09001B" w:tentative="1">
      <w:start w:val="1"/>
      <w:numFmt w:val="lowerRoman"/>
      <w:lvlText w:val="%3."/>
      <w:lvlJc w:val="right"/>
      <w:pPr>
        <w:ind w:left="1710" w:hanging="180"/>
      </w:pPr>
    </w:lvl>
    <w:lvl w:ilvl="3" w:tplc="0C09000F" w:tentative="1">
      <w:start w:val="1"/>
      <w:numFmt w:val="decimal"/>
      <w:lvlText w:val="%4."/>
      <w:lvlJc w:val="left"/>
      <w:pPr>
        <w:ind w:left="2430" w:hanging="360"/>
      </w:pPr>
    </w:lvl>
    <w:lvl w:ilvl="4" w:tplc="0C090019" w:tentative="1">
      <w:start w:val="1"/>
      <w:numFmt w:val="lowerLetter"/>
      <w:lvlText w:val="%5."/>
      <w:lvlJc w:val="left"/>
      <w:pPr>
        <w:ind w:left="3150" w:hanging="360"/>
      </w:pPr>
    </w:lvl>
    <w:lvl w:ilvl="5" w:tplc="0C09001B" w:tentative="1">
      <w:start w:val="1"/>
      <w:numFmt w:val="lowerRoman"/>
      <w:lvlText w:val="%6."/>
      <w:lvlJc w:val="right"/>
      <w:pPr>
        <w:ind w:left="3870" w:hanging="180"/>
      </w:pPr>
    </w:lvl>
    <w:lvl w:ilvl="6" w:tplc="0C09000F" w:tentative="1">
      <w:start w:val="1"/>
      <w:numFmt w:val="decimal"/>
      <w:lvlText w:val="%7."/>
      <w:lvlJc w:val="left"/>
      <w:pPr>
        <w:ind w:left="4590" w:hanging="360"/>
      </w:pPr>
    </w:lvl>
    <w:lvl w:ilvl="7" w:tplc="0C090019" w:tentative="1">
      <w:start w:val="1"/>
      <w:numFmt w:val="lowerLetter"/>
      <w:lvlText w:val="%8."/>
      <w:lvlJc w:val="left"/>
      <w:pPr>
        <w:ind w:left="5310" w:hanging="360"/>
      </w:pPr>
    </w:lvl>
    <w:lvl w:ilvl="8" w:tplc="0C09001B" w:tentative="1">
      <w:start w:val="1"/>
      <w:numFmt w:val="lowerRoman"/>
      <w:lvlText w:val="%9."/>
      <w:lvlJc w:val="right"/>
      <w:pPr>
        <w:ind w:left="6030" w:hanging="180"/>
      </w:pPr>
    </w:lvl>
  </w:abstractNum>
  <w:abstractNum w:abstractNumId="7">
    <w:nsid w:val="1149620A"/>
    <w:multiLevelType w:val="multilevel"/>
    <w:tmpl w:val="0C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8">
    <w:nsid w:val="12AD3AE9"/>
    <w:multiLevelType w:val="multilevel"/>
    <w:tmpl w:val="391EBED6"/>
    <w:lvl w:ilvl="0">
      <w:start w:val="1"/>
      <w:numFmt w:val="decimal"/>
      <w:lvlText w:val="%1)"/>
      <w:lvlJc w:val="left"/>
      <w:pPr>
        <w:ind w:left="1797" w:hanging="357"/>
      </w:pPr>
      <w:rPr>
        <w:rFonts w:hint="default"/>
      </w:rPr>
    </w:lvl>
    <w:lvl w:ilvl="1">
      <w:start w:val="1"/>
      <w:numFmt w:val="lowerLetter"/>
      <w:lvlText w:val="%2)"/>
      <w:lvlJc w:val="left"/>
      <w:pPr>
        <w:ind w:left="2154" w:hanging="357"/>
      </w:pPr>
      <w:rPr>
        <w:rFonts w:hint="default"/>
      </w:rPr>
    </w:lvl>
    <w:lvl w:ilvl="2">
      <w:start w:val="1"/>
      <w:numFmt w:val="lowerRoman"/>
      <w:lvlText w:val="%3)"/>
      <w:lvlJc w:val="left"/>
      <w:pPr>
        <w:ind w:left="2511" w:hanging="357"/>
      </w:pPr>
      <w:rPr>
        <w:rFonts w:hint="default"/>
      </w:rPr>
    </w:lvl>
    <w:lvl w:ilvl="3">
      <w:start w:val="1"/>
      <w:numFmt w:val="decimal"/>
      <w:lvlText w:val="(%4)"/>
      <w:lvlJc w:val="left"/>
      <w:pPr>
        <w:ind w:left="2868" w:hanging="357"/>
      </w:pPr>
      <w:rPr>
        <w:rFonts w:hint="default"/>
      </w:rPr>
    </w:lvl>
    <w:lvl w:ilvl="4">
      <w:start w:val="1"/>
      <w:numFmt w:val="lowerLetter"/>
      <w:lvlText w:val="(%5)"/>
      <w:lvlJc w:val="left"/>
      <w:pPr>
        <w:ind w:left="3225" w:hanging="357"/>
      </w:pPr>
      <w:rPr>
        <w:rFonts w:hint="default"/>
      </w:rPr>
    </w:lvl>
    <w:lvl w:ilvl="5">
      <w:start w:val="1"/>
      <w:numFmt w:val="lowerRoman"/>
      <w:lvlText w:val="(%6)"/>
      <w:lvlJc w:val="left"/>
      <w:pPr>
        <w:ind w:left="3582" w:hanging="357"/>
      </w:pPr>
      <w:rPr>
        <w:rFonts w:hint="default"/>
      </w:rPr>
    </w:lvl>
    <w:lvl w:ilvl="6">
      <w:start w:val="1"/>
      <w:numFmt w:val="decimal"/>
      <w:lvlText w:val="%7."/>
      <w:lvlJc w:val="left"/>
      <w:pPr>
        <w:ind w:left="3939" w:hanging="357"/>
      </w:pPr>
      <w:rPr>
        <w:rFonts w:hint="default"/>
      </w:rPr>
    </w:lvl>
    <w:lvl w:ilvl="7">
      <w:start w:val="1"/>
      <w:numFmt w:val="lowerLetter"/>
      <w:lvlText w:val="%8."/>
      <w:lvlJc w:val="left"/>
      <w:pPr>
        <w:ind w:left="4296" w:hanging="357"/>
      </w:pPr>
      <w:rPr>
        <w:rFonts w:hint="default"/>
      </w:rPr>
    </w:lvl>
    <w:lvl w:ilvl="8">
      <w:start w:val="1"/>
      <w:numFmt w:val="lowerRoman"/>
      <w:lvlText w:val="%9."/>
      <w:lvlJc w:val="left"/>
      <w:pPr>
        <w:ind w:left="4653" w:hanging="357"/>
      </w:pPr>
      <w:rPr>
        <w:rFonts w:hint="default"/>
      </w:rPr>
    </w:lvl>
  </w:abstractNum>
  <w:abstractNum w:abstractNumId="9">
    <w:nsid w:val="14C034C5"/>
    <w:multiLevelType w:val="hybridMultilevel"/>
    <w:tmpl w:val="604EF916"/>
    <w:lvl w:ilvl="0" w:tplc="B470AD62">
      <w:numFmt w:val="bullet"/>
      <w:lvlText w:val="-"/>
      <w:lvlJc w:val="left"/>
      <w:pPr>
        <w:ind w:left="1554"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687C87"/>
    <w:multiLevelType w:val="hybridMultilevel"/>
    <w:tmpl w:val="249002F8"/>
    <w:lvl w:ilvl="0" w:tplc="D62C1288">
      <w:start w:val="1"/>
      <w:numFmt w:val="decimal"/>
      <w:lvlText w:val="%1."/>
      <w:lvlJc w:val="left"/>
      <w:pPr>
        <w:ind w:left="1725" w:hanging="555"/>
      </w:pPr>
      <w:rPr>
        <w:rFonts w:asciiTheme="minorHAnsi" w:hAnsiTheme="minorHAnsi" w:cstheme="minorHAnsi" w:hint="default"/>
        <w:b w:val="0"/>
        <w:sz w:val="36"/>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8BB01F5"/>
    <w:multiLevelType w:val="hybridMultilevel"/>
    <w:tmpl w:val="1986ADC2"/>
    <w:lvl w:ilvl="0" w:tplc="B470AD62">
      <w:numFmt w:val="bullet"/>
      <w:lvlText w:val="-"/>
      <w:lvlJc w:val="left"/>
      <w:pPr>
        <w:ind w:left="1554" w:hanging="360"/>
      </w:pPr>
      <w:rPr>
        <w:rFonts w:ascii="Arial" w:eastAsiaTheme="minorHAnsi" w:hAnsi="Arial" w:cs="Arial" w:hint="default"/>
      </w:rPr>
    </w:lvl>
    <w:lvl w:ilvl="1" w:tplc="0C090003" w:tentative="1">
      <w:start w:val="1"/>
      <w:numFmt w:val="bullet"/>
      <w:lvlText w:val="o"/>
      <w:lvlJc w:val="left"/>
      <w:pPr>
        <w:ind w:left="2274" w:hanging="360"/>
      </w:pPr>
      <w:rPr>
        <w:rFonts w:ascii="Courier New" w:hAnsi="Courier New" w:cs="Courier New" w:hint="default"/>
      </w:rPr>
    </w:lvl>
    <w:lvl w:ilvl="2" w:tplc="0C090005" w:tentative="1">
      <w:start w:val="1"/>
      <w:numFmt w:val="bullet"/>
      <w:lvlText w:val=""/>
      <w:lvlJc w:val="left"/>
      <w:pPr>
        <w:ind w:left="2994" w:hanging="360"/>
      </w:pPr>
      <w:rPr>
        <w:rFonts w:ascii="Wingdings" w:hAnsi="Wingdings" w:hint="default"/>
      </w:rPr>
    </w:lvl>
    <w:lvl w:ilvl="3" w:tplc="0C090001" w:tentative="1">
      <w:start w:val="1"/>
      <w:numFmt w:val="bullet"/>
      <w:lvlText w:val=""/>
      <w:lvlJc w:val="left"/>
      <w:pPr>
        <w:ind w:left="3714" w:hanging="360"/>
      </w:pPr>
      <w:rPr>
        <w:rFonts w:ascii="Symbol" w:hAnsi="Symbol" w:hint="default"/>
      </w:rPr>
    </w:lvl>
    <w:lvl w:ilvl="4" w:tplc="0C090003" w:tentative="1">
      <w:start w:val="1"/>
      <w:numFmt w:val="bullet"/>
      <w:lvlText w:val="o"/>
      <w:lvlJc w:val="left"/>
      <w:pPr>
        <w:ind w:left="4434" w:hanging="360"/>
      </w:pPr>
      <w:rPr>
        <w:rFonts w:ascii="Courier New" w:hAnsi="Courier New" w:cs="Courier New" w:hint="default"/>
      </w:rPr>
    </w:lvl>
    <w:lvl w:ilvl="5" w:tplc="0C090005" w:tentative="1">
      <w:start w:val="1"/>
      <w:numFmt w:val="bullet"/>
      <w:lvlText w:val=""/>
      <w:lvlJc w:val="left"/>
      <w:pPr>
        <w:ind w:left="5154" w:hanging="360"/>
      </w:pPr>
      <w:rPr>
        <w:rFonts w:ascii="Wingdings" w:hAnsi="Wingdings" w:hint="default"/>
      </w:rPr>
    </w:lvl>
    <w:lvl w:ilvl="6" w:tplc="0C090001" w:tentative="1">
      <w:start w:val="1"/>
      <w:numFmt w:val="bullet"/>
      <w:lvlText w:val=""/>
      <w:lvlJc w:val="left"/>
      <w:pPr>
        <w:ind w:left="5874" w:hanging="360"/>
      </w:pPr>
      <w:rPr>
        <w:rFonts w:ascii="Symbol" w:hAnsi="Symbol" w:hint="default"/>
      </w:rPr>
    </w:lvl>
    <w:lvl w:ilvl="7" w:tplc="0C090003" w:tentative="1">
      <w:start w:val="1"/>
      <w:numFmt w:val="bullet"/>
      <w:lvlText w:val="o"/>
      <w:lvlJc w:val="left"/>
      <w:pPr>
        <w:ind w:left="6594" w:hanging="360"/>
      </w:pPr>
      <w:rPr>
        <w:rFonts w:ascii="Courier New" w:hAnsi="Courier New" w:cs="Courier New" w:hint="default"/>
      </w:rPr>
    </w:lvl>
    <w:lvl w:ilvl="8" w:tplc="0C090005" w:tentative="1">
      <w:start w:val="1"/>
      <w:numFmt w:val="bullet"/>
      <w:lvlText w:val=""/>
      <w:lvlJc w:val="left"/>
      <w:pPr>
        <w:ind w:left="7314" w:hanging="360"/>
      </w:pPr>
      <w:rPr>
        <w:rFonts w:ascii="Wingdings" w:hAnsi="Wingdings" w:hint="default"/>
      </w:rPr>
    </w:lvl>
  </w:abstractNum>
  <w:abstractNum w:abstractNumId="12">
    <w:nsid w:val="19075CC9"/>
    <w:multiLevelType w:val="hybridMultilevel"/>
    <w:tmpl w:val="9DB84CB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A0D2D04"/>
    <w:multiLevelType w:val="multilevel"/>
    <w:tmpl w:val="1CBA4B04"/>
    <w:lvl w:ilvl="0">
      <w:start w:val="1"/>
      <w:numFmt w:val="decimal"/>
      <w:lvlText w:val="%1)"/>
      <w:lvlJc w:val="left"/>
      <w:pPr>
        <w:ind w:left="1800" w:hanging="360"/>
      </w:pPr>
    </w:lvl>
    <w:lvl w:ilvl="1">
      <w:start w:val="1"/>
      <w:numFmt w:val="lowerLetter"/>
      <w:lvlText w:val="%2)"/>
      <w:lvlJc w:val="left"/>
      <w:pPr>
        <w:ind w:left="2160" w:hanging="360"/>
      </w:pPr>
      <w:rPr>
        <w:sz w:val="32"/>
      </w:r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4">
    <w:nsid w:val="1A91614A"/>
    <w:multiLevelType w:val="hybridMultilevel"/>
    <w:tmpl w:val="2BBE83A4"/>
    <w:lvl w:ilvl="0" w:tplc="13145C5C">
      <w:start w:val="7"/>
      <w:numFmt w:val="decimal"/>
      <w:lvlText w:val="%1."/>
      <w:lvlJc w:val="left"/>
      <w:pPr>
        <w:ind w:left="4382" w:hanging="555"/>
      </w:pPr>
      <w:rPr>
        <w:rFonts w:asciiTheme="minorHAnsi" w:hAnsiTheme="minorHAnsi" w:cstheme="minorHAnsi" w:hint="default"/>
        <w:b w:val="0"/>
        <w:sz w:val="28"/>
        <w:szCs w:val="2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B38702D"/>
    <w:multiLevelType w:val="multilevel"/>
    <w:tmpl w:val="4D308D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D7B392A"/>
    <w:multiLevelType w:val="hybridMultilevel"/>
    <w:tmpl w:val="F45E477A"/>
    <w:lvl w:ilvl="0" w:tplc="85B01B62">
      <w:start w:val="2010"/>
      <w:numFmt w:val="bullet"/>
      <w:lvlText w:val="-"/>
      <w:lvlJc w:val="left"/>
      <w:pPr>
        <w:ind w:left="1536" w:hanging="360"/>
      </w:pPr>
      <w:rPr>
        <w:rFonts w:ascii="Times New Roman" w:eastAsiaTheme="minorEastAsia" w:hAnsi="Times New Roman" w:hint="default"/>
      </w:rPr>
    </w:lvl>
    <w:lvl w:ilvl="1" w:tplc="04090003">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7">
    <w:nsid w:val="1DA328F1"/>
    <w:multiLevelType w:val="hybridMultilevel"/>
    <w:tmpl w:val="18560F0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13A75C9"/>
    <w:multiLevelType w:val="multilevel"/>
    <w:tmpl w:val="DDC6A7C6"/>
    <w:lvl w:ilvl="0">
      <w:start w:val="1"/>
      <w:numFmt w:val="decimal"/>
      <w:lvlText w:val="%1."/>
      <w:lvlJc w:val="left"/>
      <w:pPr>
        <w:ind w:left="1800" w:hanging="360"/>
      </w:pPr>
    </w:lvl>
    <w:lvl w:ilvl="1">
      <w:start w:val="1"/>
      <w:numFmt w:val="lowerLetter"/>
      <w:lvlText w:val="%2)"/>
      <w:lvlJc w:val="left"/>
      <w:pPr>
        <w:ind w:left="2160" w:hanging="360"/>
      </w:pPr>
      <w:rPr>
        <w:sz w:val="32"/>
      </w:r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9">
    <w:nsid w:val="27231742"/>
    <w:multiLevelType w:val="hybridMultilevel"/>
    <w:tmpl w:val="EF02B98A"/>
    <w:lvl w:ilvl="0" w:tplc="0C090019">
      <w:start w:val="1"/>
      <w:numFmt w:val="lowerLetter"/>
      <w:lvlText w:val="%1."/>
      <w:lvlJc w:val="left"/>
      <w:pPr>
        <w:ind w:left="1684" w:hanging="360"/>
      </w:p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20">
    <w:nsid w:val="27FF12DE"/>
    <w:multiLevelType w:val="hybridMultilevel"/>
    <w:tmpl w:val="0B7E225A"/>
    <w:lvl w:ilvl="0" w:tplc="B470AD62">
      <w:numFmt w:val="bullet"/>
      <w:lvlText w:val="-"/>
      <w:lvlJc w:val="left"/>
      <w:pPr>
        <w:ind w:left="1854" w:hanging="360"/>
      </w:pPr>
      <w:rPr>
        <w:rFonts w:ascii="Arial" w:eastAsiaTheme="minorHAnsi" w:hAnsi="Arial" w:cs="Aria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nsid w:val="283652B2"/>
    <w:multiLevelType w:val="hybridMultilevel"/>
    <w:tmpl w:val="85A69D50"/>
    <w:lvl w:ilvl="0" w:tplc="8EEA3DAA">
      <w:start w:val="1"/>
      <w:numFmt w:val="lowerLetter"/>
      <w:lvlText w:val="(%1)"/>
      <w:lvlJc w:val="left"/>
      <w:pPr>
        <w:ind w:left="1725" w:hanging="555"/>
      </w:pPr>
      <w:rPr>
        <w:rFonts w:cs="Times New Roman" w:hint="default"/>
        <w:b/>
        <w:color w:val="000000"/>
        <w:sz w:val="22"/>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2">
    <w:nsid w:val="2CDE0D36"/>
    <w:multiLevelType w:val="hybridMultilevel"/>
    <w:tmpl w:val="F5B4A4C4"/>
    <w:lvl w:ilvl="0" w:tplc="B470AD62">
      <w:numFmt w:val="bullet"/>
      <w:lvlText w:val="-"/>
      <w:lvlJc w:val="left"/>
      <w:pPr>
        <w:ind w:left="1854" w:hanging="360"/>
      </w:pPr>
      <w:rPr>
        <w:rFonts w:ascii="Arial" w:eastAsiaTheme="minorHAnsi" w:hAnsi="Arial" w:cs="Aria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3">
    <w:nsid w:val="30740FB2"/>
    <w:multiLevelType w:val="hybridMultilevel"/>
    <w:tmpl w:val="E8409520"/>
    <w:lvl w:ilvl="0" w:tplc="13145C5C">
      <w:start w:val="7"/>
      <w:numFmt w:val="decimal"/>
      <w:lvlText w:val="%1."/>
      <w:lvlJc w:val="left"/>
      <w:pPr>
        <w:ind w:left="4382" w:hanging="555"/>
      </w:pPr>
      <w:rPr>
        <w:rFonts w:asciiTheme="minorHAnsi" w:hAnsiTheme="minorHAnsi" w:cstheme="minorHAnsi" w:hint="default"/>
        <w:b w:val="0"/>
        <w:sz w:val="28"/>
        <w:szCs w:val="28"/>
      </w:rPr>
    </w:lvl>
    <w:lvl w:ilvl="1" w:tplc="13145C5C">
      <w:start w:val="7"/>
      <w:numFmt w:val="decimal"/>
      <w:lvlText w:val="%2."/>
      <w:lvlJc w:val="left"/>
      <w:pPr>
        <w:ind w:left="1440" w:hanging="360"/>
      </w:pPr>
      <w:rPr>
        <w:rFonts w:asciiTheme="minorHAnsi" w:hAnsiTheme="minorHAnsi" w:cstheme="minorHAnsi" w:hint="default"/>
        <w:b w:val="0"/>
        <w:sz w:val="28"/>
        <w:szCs w:val="28"/>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2D307EE"/>
    <w:multiLevelType w:val="multilevel"/>
    <w:tmpl w:val="0C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5">
    <w:nsid w:val="389F5E45"/>
    <w:multiLevelType w:val="hybridMultilevel"/>
    <w:tmpl w:val="39B892B6"/>
    <w:lvl w:ilvl="0" w:tplc="1E0AED32">
      <w:start w:val="1"/>
      <w:numFmt w:val="decimal"/>
      <w:lvlText w:val="%1."/>
      <w:lvlJc w:val="left"/>
      <w:pPr>
        <w:ind w:left="1725" w:hanging="555"/>
      </w:pPr>
      <w:rPr>
        <w:rFonts w:cs="Times New Roman" w:hint="default"/>
        <w:b w:val="0"/>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6">
    <w:nsid w:val="43E456DD"/>
    <w:multiLevelType w:val="hybridMultilevel"/>
    <w:tmpl w:val="01B61F86"/>
    <w:lvl w:ilvl="0" w:tplc="D62C1288">
      <w:start w:val="1"/>
      <w:numFmt w:val="decimal"/>
      <w:lvlText w:val="%1."/>
      <w:lvlJc w:val="left"/>
      <w:pPr>
        <w:ind w:left="1725" w:hanging="555"/>
      </w:pPr>
      <w:rPr>
        <w:rFonts w:asciiTheme="minorHAnsi" w:hAnsiTheme="minorHAnsi" w:cstheme="minorHAnsi" w:hint="default"/>
        <w:b w:val="0"/>
        <w:sz w:val="36"/>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7">
    <w:nsid w:val="44577CED"/>
    <w:multiLevelType w:val="hybridMultilevel"/>
    <w:tmpl w:val="DF76675E"/>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8">
    <w:nsid w:val="459D68AB"/>
    <w:multiLevelType w:val="hybridMultilevel"/>
    <w:tmpl w:val="6EEA6F90"/>
    <w:lvl w:ilvl="0" w:tplc="13145C5C">
      <w:start w:val="7"/>
      <w:numFmt w:val="decimal"/>
      <w:lvlText w:val="%1."/>
      <w:lvlJc w:val="left"/>
      <w:pPr>
        <w:ind w:left="4382" w:hanging="555"/>
      </w:pPr>
      <w:rPr>
        <w:rFonts w:asciiTheme="minorHAnsi" w:hAnsiTheme="minorHAnsi" w:cstheme="minorHAnsi" w:hint="default"/>
        <w:b w:val="0"/>
        <w:sz w:val="28"/>
        <w:szCs w:val="28"/>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5D82D41"/>
    <w:multiLevelType w:val="hybridMultilevel"/>
    <w:tmpl w:val="97120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DA59A0"/>
    <w:multiLevelType w:val="hybridMultilevel"/>
    <w:tmpl w:val="236EB7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E05623D"/>
    <w:multiLevelType w:val="hybridMultilevel"/>
    <w:tmpl w:val="3210D9FC"/>
    <w:lvl w:ilvl="0" w:tplc="D62C1288">
      <w:start w:val="1"/>
      <w:numFmt w:val="decimal"/>
      <w:lvlText w:val="%1."/>
      <w:lvlJc w:val="left"/>
      <w:pPr>
        <w:ind w:left="1725" w:hanging="555"/>
      </w:pPr>
      <w:rPr>
        <w:rFonts w:asciiTheme="minorHAnsi" w:hAnsiTheme="minorHAnsi" w:cstheme="minorHAnsi" w:hint="default"/>
        <w:b w:val="0"/>
        <w:sz w:val="3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E4209D6"/>
    <w:multiLevelType w:val="hybridMultilevel"/>
    <w:tmpl w:val="2758D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FE1DA6"/>
    <w:multiLevelType w:val="multilevel"/>
    <w:tmpl w:val="1CBA4B04"/>
    <w:lvl w:ilvl="0">
      <w:start w:val="1"/>
      <w:numFmt w:val="decimal"/>
      <w:lvlText w:val="%1)"/>
      <w:lvlJc w:val="left"/>
      <w:pPr>
        <w:ind w:left="1800" w:hanging="360"/>
      </w:pPr>
    </w:lvl>
    <w:lvl w:ilvl="1">
      <w:start w:val="1"/>
      <w:numFmt w:val="lowerLetter"/>
      <w:lvlText w:val="%2)"/>
      <w:lvlJc w:val="left"/>
      <w:pPr>
        <w:ind w:left="2160" w:hanging="360"/>
      </w:pPr>
      <w:rPr>
        <w:sz w:val="32"/>
      </w:r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4">
    <w:nsid w:val="58E91A04"/>
    <w:multiLevelType w:val="hybridMultilevel"/>
    <w:tmpl w:val="70C80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956BF3"/>
    <w:multiLevelType w:val="multilevel"/>
    <w:tmpl w:val="1CBA4B04"/>
    <w:lvl w:ilvl="0">
      <w:start w:val="1"/>
      <w:numFmt w:val="decimal"/>
      <w:lvlText w:val="%1)"/>
      <w:lvlJc w:val="left"/>
      <w:pPr>
        <w:ind w:left="1800" w:hanging="360"/>
      </w:pPr>
    </w:lvl>
    <w:lvl w:ilvl="1">
      <w:start w:val="1"/>
      <w:numFmt w:val="lowerLetter"/>
      <w:lvlText w:val="%2)"/>
      <w:lvlJc w:val="left"/>
      <w:pPr>
        <w:ind w:left="2160" w:hanging="360"/>
      </w:pPr>
      <w:rPr>
        <w:sz w:val="32"/>
      </w:r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6">
    <w:nsid w:val="5B1321F5"/>
    <w:multiLevelType w:val="hybridMultilevel"/>
    <w:tmpl w:val="E50EF67A"/>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7">
    <w:nsid w:val="617D3708"/>
    <w:multiLevelType w:val="hybridMultilevel"/>
    <w:tmpl w:val="E5D260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B8E05E2"/>
    <w:multiLevelType w:val="hybridMultilevel"/>
    <w:tmpl w:val="BEE01D5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9">
    <w:nsid w:val="6C3C1647"/>
    <w:multiLevelType w:val="hybridMultilevel"/>
    <w:tmpl w:val="6406A060"/>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nsid w:val="6C6E108E"/>
    <w:multiLevelType w:val="multilevel"/>
    <w:tmpl w:val="1CBA4B04"/>
    <w:lvl w:ilvl="0">
      <w:start w:val="1"/>
      <w:numFmt w:val="decimal"/>
      <w:lvlText w:val="%1)"/>
      <w:lvlJc w:val="left"/>
      <w:pPr>
        <w:ind w:left="1800" w:hanging="360"/>
      </w:pPr>
    </w:lvl>
    <w:lvl w:ilvl="1">
      <w:start w:val="1"/>
      <w:numFmt w:val="lowerLetter"/>
      <w:lvlText w:val="%2)"/>
      <w:lvlJc w:val="left"/>
      <w:pPr>
        <w:ind w:left="2160" w:hanging="360"/>
      </w:pPr>
      <w:rPr>
        <w:sz w:val="32"/>
      </w:r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41">
    <w:nsid w:val="6D7E422D"/>
    <w:multiLevelType w:val="hybridMultilevel"/>
    <w:tmpl w:val="01B61F86"/>
    <w:lvl w:ilvl="0" w:tplc="D62C1288">
      <w:start w:val="1"/>
      <w:numFmt w:val="decimal"/>
      <w:lvlText w:val="%1."/>
      <w:lvlJc w:val="left"/>
      <w:pPr>
        <w:ind w:left="1725" w:hanging="555"/>
      </w:pPr>
      <w:rPr>
        <w:rFonts w:asciiTheme="minorHAnsi" w:hAnsiTheme="minorHAnsi" w:cstheme="minorHAnsi" w:hint="default"/>
        <w:b w:val="0"/>
        <w:sz w:val="36"/>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42">
    <w:nsid w:val="6FD50C7A"/>
    <w:multiLevelType w:val="hybridMultilevel"/>
    <w:tmpl w:val="8A94C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F438E2"/>
    <w:multiLevelType w:val="hybridMultilevel"/>
    <w:tmpl w:val="AF641B8C"/>
    <w:lvl w:ilvl="0" w:tplc="9E465448">
      <w:start w:val="1"/>
      <w:numFmt w:val="lowerRoman"/>
      <w:lvlText w:val="(%1)"/>
      <w:lvlJc w:val="left"/>
      <w:pPr>
        <w:ind w:left="1890" w:hanging="72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44">
    <w:nsid w:val="706A62B2"/>
    <w:multiLevelType w:val="hybridMultilevel"/>
    <w:tmpl w:val="0F569B0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nsid w:val="76F613B5"/>
    <w:multiLevelType w:val="hybridMultilevel"/>
    <w:tmpl w:val="6DAA8D4C"/>
    <w:lvl w:ilvl="0" w:tplc="812A96F4">
      <w:start w:val="1"/>
      <w:numFmt w:val="decimal"/>
      <w:lvlText w:val="%1."/>
      <w:lvlJc w:val="left"/>
      <w:pPr>
        <w:ind w:left="4382" w:hanging="555"/>
      </w:pPr>
      <w:rPr>
        <w:rFonts w:asciiTheme="minorHAnsi" w:hAnsiTheme="minorHAnsi" w:cstheme="minorHAnsi" w:hint="default"/>
        <w:b w:val="0"/>
        <w:sz w:val="28"/>
        <w:szCs w:val="28"/>
      </w:rPr>
    </w:lvl>
    <w:lvl w:ilvl="1" w:tplc="04090019">
      <w:start w:val="1"/>
      <w:numFmt w:val="lowerLetter"/>
      <w:lvlText w:val="%2."/>
      <w:lvlJc w:val="left"/>
      <w:pPr>
        <w:ind w:left="2250" w:hanging="360"/>
      </w:pPr>
      <w:rPr>
        <w:rFonts w:cs="Times New Roman"/>
      </w:rPr>
    </w:lvl>
    <w:lvl w:ilvl="2" w:tplc="0409001B">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46">
    <w:nsid w:val="7E3E7172"/>
    <w:multiLevelType w:val="hybridMultilevel"/>
    <w:tmpl w:val="EACAD004"/>
    <w:lvl w:ilvl="0" w:tplc="B8EA61E4">
      <w:start w:val="9"/>
      <w:numFmt w:val="lowerLetter"/>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num w:numId="1">
    <w:abstractNumId w:val="21"/>
  </w:num>
  <w:num w:numId="2">
    <w:abstractNumId w:val="46"/>
  </w:num>
  <w:num w:numId="3">
    <w:abstractNumId w:val="16"/>
  </w:num>
  <w:num w:numId="4">
    <w:abstractNumId w:val="43"/>
  </w:num>
  <w:num w:numId="5">
    <w:abstractNumId w:val="1"/>
  </w:num>
  <w:num w:numId="6">
    <w:abstractNumId w:val="25"/>
  </w:num>
  <w:num w:numId="7">
    <w:abstractNumId w:val="19"/>
  </w:num>
  <w:num w:numId="8">
    <w:abstractNumId w:val="30"/>
  </w:num>
  <w:num w:numId="9">
    <w:abstractNumId w:val="39"/>
  </w:num>
  <w:num w:numId="10">
    <w:abstractNumId w:val="36"/>
  </w:num>
  <w:num w:numId="11">
    <w:abstractNumId w:val="44"/>
  </w:num>
  <w:num w:numId="12">
    <w:abstractNumId w:val="24"/>
  </w:num>
  <w:num w:numId="13">
    <w:abstractNumId w:val="0"/>
  </w:num>
  <w:num w:numId="14">
    <w:abstractNumId w:val="8"/>
  </w:num>
  <w:num w:numId="15">
    <w:abstractNumId w:val="38"/>
  </w:num>
  <w:num w:numId="16">
    <w:abstractNumId w:val="7"/>
  </w:num>
  <w:num w:numId="17">
    <w:abstractNumId w:val="3"/>
  </w:num>
  <w:num w:numId="18">
    <w:abstractNumId w:val="11"/>
  </w:num>
  <w:num w:numId="19">
    <w:abstractNumId w:val="26"/>
  </w:num>
  <w:num w:numId="20">
    <w:abstractNumId w:val="41"/>
  </w:num>
  <w:num w:numId="21">
    <w:abstractNumId w:val="45"/>
  </w:num>
  <w:num w:numId="22">
    <w:abstractNumId w:val="4"/>
  </w:num>
  <w:num w:numId="23">
    <w:abstractNumId w:val="31"/>
  </w:num>
  <w:num w:numId="24">
    <w:abstractNumId w:val="10"/>
  </w:num>
  <w:num w:numId="25">
    <w:abstractNumId w:val="6"/>
  </w:num>
  <w:num w:numId="26">
    <w:abstractNumId w:val="22"/>
  </w:num>
  <w:num w:numId="27">
    <w:abstractNumId w:val="17"/>
  </w:num>
  <w:num w:numId="28">
    <w:abstractNumId w:val="12"/>
  </w:num>
  <w:num w:numId="29">
    <w:abstractNumId w:val="20"/>
  </w:num>
  <w:num w:numId="30">
    <w:abstractNumId w:val="27"/>
  </w:num>
  <w:num w:numId="31">
    <w:abstractNumId w:val="33"/>
  </w:num>
  <w:num w:numId="32">
    <w:abstractNumId w:val="40"/>
  </w:num>
  <w:num w:numId="33">
    <w:abstractNumId w:val="18"/>
  </w:num>
  <w:num w:numId="34">
    <w:abstractNumId w:val="37"/>
  </w:num>
  <w:num w:numId="35">
    <w:abstractNumId w:val="2"/>
  </w:num>
  <w:num w:numId="36">
    <w:abstractNumId w:val="28"/>
  </w:num>
  <w:num w:numId="37">
    <w:abstractNumId w:val="14"/>
  </w:num>
  <w:num w:numId="38">
    <w:abstractNumId w:val="23"/>
  </w:num>
  <w:num w:numId="39">
    <w:abstractNumId w:val="15"/>
  </w:num>
  <w:num w:numId="40">
    <w:abstractNumId w:val="13"/>
  </w:num>
  <w:num w:numId="41">
    <w:abstractNumId w:val="35"/>
  </w:num>
  <w:num w:numId="42">
    <w:abstractNumId w:val="32"/>
  </w:num>
  <w:num w:numId="43">
    <w:abstractNumId w:val="29"/>
  </w:num>
  <w:num w:numId="44">
    <w:abstractNumId w:val="5"/>
  </w:num>
  <w:num w:numId="45">
    <w:abstractNumId w:val="42"/>
  </w:num>
  <w:num w:numId="46">
    <w:abstractNumId w:val="34"/>
  </w:num>
  <w:num w:numId="4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0B"/>
    <w:rsid w:val="00007A5E"/>
    <w:rsid w:val="0001208A"/>
    <w:rsid w:val="00012921"/>
    <w:rsid w:val="00022082"/>
    <w:rsid w:val="000234B1"/>
    <w:rsid w:val="0002368B"/>
    <w:rsid w:val="0002535A"/>
    <w:rsid w:val="00027A3F"/>
    <w:rsid w:val="00034268"/>
    <w:rsid w:val="000353EE"/>
    <w:rsid w:val="00043EC1"/>
    <w:rsid w:val="00060A1A"/>
    <w:rsid w:val="00075800"/>
    <w:rsid w:val="00075D3F"/>
    <w:rsid w:val="00077124"/>
    <w:rsid w:val="00082BF0"/>
    <w:rsid w:val="00085B2A"/>
    <w:rsid w:val="00086DF8"/>
    <w:rsid w:val="00096F90"/>
    <w:rsid w:val="000A0F85"/>
    <w:rsid w:val="000A78D3"/>
    <w:rsid w:val="000B4B10"/>
    <w:rsid w:val="000B54A4"/>
    <w:rsid w:val="000B7B23"/>
    <w:rsid w:val="000C0AED"/>
    <w:rsid w:val="000C3602"/>
    <w:rsid w:val="000C4CEA"/>
    <w:rsid w:val="000C5471"/>
    <w:rsid w:val="000C70F1"/>
    <w:rsid w:val="000C7DE9"/>
    <w:rsid w:val="000D73AD"/>
    <w:rsid w:val="000E6863"/>
    <w:rsid w:val="000F252A"/>
    <w:rsid w:val="000F5CD8"/>
    <w:rsid w:val="00105329"/>
    <w:rsid w:val="001132C8"/>
    <w:rsid w:val="00117C19"/>
    <w:rsid w:val="00122C29"/>
    <w:rsid w:val="00122E11"/>
    <w:rsid w:val="00130812"/>
    <w:rsid w:val="00134384"/>
    <w:rsid w:val="00137352"/>
    <w:rsid w:val="001413B1"/>
    <w:rsid w:val="00150FE1"/>
    <w:rsid w:val="00153097"/>
    <w:rsid w:val="00154051"/>
    <w:rsid w:val="0015721B"/>
    <w:rsid w:val="00162F94"/>
    <w:rsid w:val="00164128"/>
    <w:rsid w:val="0016435B"/>
    <w:rsid w:val="00173238"/>
    <w:rsid w:val="00176DC9"/>
    <w:rsid w:val="001807DD"/>
    <w:rsid w:val="00181B99"/>
    <w:rsid w:val="00182357"/>
    <w:rsid w:val="001928A7"/>
    <w:rsid w:val="00194F9F"/>
    <w:rsid w:val="00196B16"/>
    <w:rsid w:val="001A2FF7"/>
    <w:rsid w:val="001A48C1"/>
    <w:rsid w:val="001C31F3"/>
    <w:rsid w:val="001C4248"/>
    <w:rsid w:val="001C5B33"/>
    <w:rsid w:val="001D0C47"/>
    <w:rsid w:val="001E2D90"/>
    <w:rsid w:val="001E314A"/>
    <w:rsid w:val="001E742A"/>
    <w:rsid w:val="001F30B3"/>
    <w:rsid w:val="001F3C58"/>
    <w:rsid w:val="00207A92"/>
    <w:rsid w:val="0021068D"/>
    <w:rsid w:val="0021084A"/>
    <w:rsid w:val="00215DAC"/>
    <w:rsid w:val="00216DF8"/>
    <w:rsid w:val="00216EB1"/>
    <w:rsid w:val="00230161"/>
    <w:rsid w:val="00231CB9"/>
    <w:rsid w:val="00237F47"/>
    <w:rsid w:val="002419C9"/>
    <w:rsid w:val="00244B70"/>
    <w:rsid w:val="00246F75"/>
    <w:rsid w:val="00247FCA"/>
    <w:rsid w:val="002503EE"/>
    <w:rsid w:val="00255A6C"/>
    <w:rsid w:val="00272A5D"/>
    <w:rsid w:val="002749D4"/>
    <w:rsid w:val="002844CD"/>
    <w:rsid w:val="00286B6E"/>
    <w:rsid w:val="00286DA0"/>
    <w:rsid w:val="002876A3"/>
    <w:rsid w:val="00287D76"/>
    <w:rsid w:val="002A1136"/>
    <w:rsid w:val="002A34D4"/>
    <w:rsid w:val="002A3E72"/>
    <w:rsid w:val="002A4B22"/>
    <w:rsid w:val="002B01C5"/>
    <w:rsid w:val="002B123A"/>
    <w:rsid w:val="002B590B"/>
    <w:rsid w:val="002C0F54"/>
    <w:rsid w:val="002C51A5"/>
    <w:rsid w:val="002D13AA"/>
    <w:rsid w:val="002E40EE"/>
    <w:rsid w:val="002E420A"/>
    <w:rsid w:val="00306EB9"/>
    <w:rsid w:val="0031138E"/>
    <w:rsid w:val="00311D98"/>
    <w:rsid w:val="003206AB"/>
    <w:rsid w:val="00321AB1"/>
    <w:rsid w:val="003226E6"/>
    <w:rsid w:val="003329B9"/>
    <w:rsid w:val="0033377E"/>
    <w:rsid w:val="0033488A"/>
    <w:rsid w:val="003414A4"/>
    <w:rsid w:val="00356A7C"/>
    <w:rsid w:val="00362112"/>
    <w:rsid w:val="00363D07"/>
    <w:rsid w:val="00364680"/>
    <w:rsid w:val="00374873"/>
    <w:rsid w:val="00380101"/>
    <w:rsid w:val="00383BA9"/>
    <w:rsid w:val="00384A6E"/>
    <w:rsid w:val="00384CD7"/>
    <w:rsid w:val="003A02A6"/>
    <w:rsid w:val="003A5A64"/>
    <w:rsid w:val="003A7164"/>
    <w:rsid w:val="003B05CD"/>
    <w:rsid w:val="003B25CC"/>
    <w:rsid w:val="003B4A83"/>
    <w:rsid w:val="003C3F31"/>
    <w:rsid w:val="003C5612"/>
    <w:rsid w:val="003D78CD"/>
    <w:rsid w:val="003E2E18"/>
    <w:rsid w:val="003F7A90"/>
    <w:rsid w:val="00400E67"/>
    <w:rsid w:val="004030E3"/>
    <w:rsid w:val="0041042F"/>
    <w:rsid w:val="00417186"/>
    <w:rsid w:val="00431598"/>
    <w:rsid w:val="0044141E"/>
    <w:rsid w:val="0044380E"/>
    <w:rsid w:val="004439B2"/>
    <w:rsid w:val="00446881"/>
    <w:rsid w:val="00464410"/>
    <w:rsid w:val="00467752"/>
    <w:rsid w:val="00467844"/>
    <w:rsid w:val="00470969"/>
    <w:rsid w:val="00475D65"/>
    <w:rsid w:val="00487E39"/>
    <w:rsid w:val="0049007C"/>
    <w:rsid w:val="004905C5"/>
    <w:rsid w:val="004A0EB2"/>
    <w:rsid w:val="004A2A2E"/>
    <w:rsid w:val="004B169E"/>
    <w:rsid w:val="004B4192"/>
    <w:rsid w:val="004B6061"/>
    <w:rsid w:val="004B6628"/>
    <w:rsid w:val="004C0A79"/>
    <w:rsid w:val="004D00C1"/>
    <w:rsid w:val="004D0D34"/>
    <w:rsid w:val="004D1DF5"/>
    <w:rsid w:val="004D299B"/>
    <w:rsid w:val="004D50E6"/>
    <w:rsid w:val="004E1FD6"/>
    <w:rsid w:val="004F350B"/>
    <w:rsid w:val="004F659A"/>
    <w:rsid w:val="005132DB"/>
    <w:rsid w:val="00515B5E"/>
    <w:rsid w:val="00522D47"/>
    <w:rsid w:val="00523CA1"/>
    <w:rsid w:val="00530D7A"/>
    <w:rsid w:val="00532376"/>
    <w:rsid w:val="005363EC"/>
    <w:rsid w:val="005423C5"/>
    <w:rsid w:val="00543119"/>
    <w:rsid w:val="00550D73"/>
    <w:rsid w:val="00562CD0"/>
    <w:rsid w:val="0057324B"/>
    <w:rsid w:val="00574AED"/>
    <w:rsid w:val="00583ACD"/>
    <w:rsid w:val="005940D9"/>
    <w:rsid w:val="0059708E"/>
    <w:rsid w:val="005A1914"/>
    <w:rsid w:val="005A23E5"/>
    <w:rsid w:val="005A28CC"/>
    <w:rsid w:val="005A48DC"/>
    <w:rsid w:val="005A5C48"/>
    <w:rsid w:val="005B6049"/>
    <w:rsid w:val="005C6F31"/>
    <w:rsid w:val="005C7A6C"/>
    <w:rsid w:val="005D67C4"/>
    <w:rsid w:val="005E311D"/>
    <w:rsid w:val="005E7BDF"/>
    <w:rsid w:val="005F34CB"/>
    <w:rsid w:val="005F57AA"/>
    <w:rsid w:val="00603B49"/>
    <w:rsid w:val="00603ED1"/>
    <w:rsid w:val="0060617A"/>
    <w:rsid w:val="00607546"/>
    <w:rsid w:val="006127BF"/>
    <w:rsid w:val="006168B3"/>
    <w:rsid w:val="00620D0F"/>
    <w:rsid w:val="006355F7"/>
    <w:rsid w:val="00636E3A"/>
    <w:rsid w:val="006420C8"/>
    <w:rsid w:val="006508B6"/>
    <w:rsid w:val="00651610"/>
    <w:rsid w:val="00651749"/>
    <w:rsid w:val="00654824"/>
    <w:rsid w:val="0065528A"/>
    <w:rsid w:val="00662234"/>
    <w:rsid w:val="006718B3"/>
    <w:rsid w:val="00672B43"/>
    <w:rsid w:val="00680566"/>
    <w:rsid w:val="00681F05"/>
    <w:rsid w:val="00684BC8"/>
    <w:rsid w:val="00685106"/>
    <w:rsid w:val="00691D4B"/>
    <w:rsid w:val="00694D6B"/>
    <w:rsid w:val="006954CA"/>
    <w:rsid w:val="006A0DEA"/>
    <w:rsid w:val="006A5227"/>
    <w:rsid w:val="006C209E"/>
    <w:rsid w:val="006C6704"/>
    <w:rsid w:val="006D2D33"/>
    <w:rsid w:val="006D472F"/>
    <w:rsid w:val="006D5248"/>
    <w:rsid w:val="006E134B"/>
    <w:rsid w:val="006E2646"/>
    <w:rsid w:val="006E29C5"/>
    <w:rsid w:val="006F7404"/>
    <w:rsid w:val="00712378"/>
    <w:rsid w:val="00712543"/>
    <w:rsid w:val="00712D5D"/>
    <w:rsid w:val="007132CC"/>
    <w:rsid w:val="00720F3F"/>
    <w:rsid w:val="00723E0D"/>
    <w:rsid w:val="007309FE"/>
    <w:rsid w:val="00734D87"/>
    <w:rsid w:val="0074092E"/>
    <w:rsid w:val="00745DF0"/>
    <w:rsid w:val="00752FBD"/>
    <w:rsid w:val="007652BC"/>
    <w:rsid w:val="00771824"/>
    <w:rsid w:val="007753F4"/>
    <w:rsid w:val="00776C97"/>
    <w:rsid w:val="00781726"/>
    <w:rsid w:val="00781FE5"/>
    <w:rsid w:val="007822D3"/>
    <w:rsid w:val="0078384F"/>
    <w:rsid w:val="00783B88"/>
    <w:rsid w:val="00785C9F"/>
    <w:rsid w:val="00786E0F"/>
    <w:rsid w:val="00787FFE"/>
    <w:rsid w:val="00795A9E"/>
    <w:rsid w:val="0079623D"/>
    <w:rsid w:val="007A1B78"/>
    <w:rsid w:val="007A7882"/>
    <w:rsid w:val="007B1908"/>
    <w:rsid w:val="007B57D8"/>
    <w:rsid w:val="007B72FE"/>
    <w:rsid w:val="007C6542"/>
    <w:rsid w:val="007C6C0F"/>
    <w:rsid w:val="007E3976"/>
    <w:rsid w:val="007E4389"/>
    <w:rsid w:val="007F67A5"/>
    <w:rsid w:val="00800602"/>
    <w:rsid w:val="00805CE4"/>
    <w:rsid w:val="00820C54"/>
    <w:rsid w:val="008260A6"/>
    <w:rsid w:val="008266C1"/>
    <w:rsid w:val="0082687F"/>
    <w:rsid w:val="008269E9"/>
    <w:rsid w:val="00827B85"/>
    <w:rsid w:val="0083094D"/>
    <w:rsid w:val="00830AA5"/>
    <w:rsid w:val="0083231D"/>
    <w:rsid w:val="00832B35"/>
    <w:rsid w:val="00843301"/>
    <w:rsid w:val="00846B28"/>
    <w:rsid w:val="00856F0B"/>
    <w:rsid w:val="0087126B"/>
    <w:rsid w:val="00871D5A"/>
    <w:rsid w:val="00876FE6"/>
    <w:rsid w:val="008841DC"/>
    <w:rsid w:val="008855E5"/>
    <w:rsid w:val="008865F1"/>
    <w:rsid w:val="00891A46"/>
    <w:rsid w:val="00895057"/>
    <w:rsid w:val="008A37D5"/>
    <w:rsid w:val="008A55B7"/>
    <w:rsid w:val="008B17D1"/>
    <w:rsid w:val="008B5145"/>
    <w:rsid w:val="008D5EA4"/>
    <w:rsid w:val="008D5F51"/>
    <w:rsid w:val="008F0C7A"/>
    <w:rsid w:val="008F3531"/>
    <w:rsid w:val="008F4A4A"/>
    <w:rsid w:val="00901ED7"/>
    <w:rsid w:val="009046C9"/>
    <w:rsid w:val="00910318"/>
    <w:rsid w:val="00911068"/>
    <w:rsid w:val="009221AF"/>
    <w:rsid w:val="00930EAE"/>
    <w:rsid w:val="009348B8"/>
    <w:rsid w:val="00942F69"/>
    <w:rsid w:val="00944EC6"/>
    <w:rsid w:val="009520DE"/>
    <w:rsid w:val="009545DC"/>
    <w:rsid w:val="00964047"/>
    <w:rsid w:val="009809EC"/>
    <w:rsid w:val="00984F88"/>
    <w:rsid w:val="00985FF4"/>
    <w:rsid w:val="009868C6"/>
    <w:rsid w:val="00996FC8"/>
    <w:rsid w:val="009A2800"/>
    <w:rsid w:val="009B194A"/>
    <w:rsid w:val="009B6735"/>
    <w:rsid w:val="009C07A0"/>
    <w:rsid w:val="009E30DC"/>
    <w:rsid w:val="009E7D4C"/>
    <w:rsid w:val="00A03E46"/>
    <w:rsid w:val="00A15171"/>
    <w:rsid w:val="00A20F2F"/>
    <w:rsid w:val="00A2350D"/>
    <w:rsid w:val="00A30A1F"/>
    <w:rsid w:val="00A318C9"/>
    <w:rsid w:val="00A31F05"/>
    <w:rsid w:val="00A32AC0"/>
    <w:rsid w:val="00A33E7D"/>
    <w:rsid w:val="00A40945"/>
    <w:rsid w:val="00A43010"/>
    <w:rsid w:val="00A430FE"/>
    <w:rsid w:val="00A46163"/>
    <w:rsid w:val="00A540D8"/>
    <w:rsid w:val="00A57619"/>
    <w:rsid w:val="00A67A11"/>
    <w:rsid w:val="00A7102F"/>
    <w:rsid w:val="00A71D21"/>
    <w:rsid w:val="00A7286E"/>
    <w:rsid w:val="00A82DCE"/>
    <w:rsid w:val="00A91877"/>
    <w:rsid w:val="00A91C0E"/>
    <w:rsid w:val="00AA60C5"/>
    <w:rsid w:val="00AB6E62"/>
    <w:rsid w:val="00AC2CB4"/>
    <w:rsid w:val="00AE511F"/>
    <w:rsid w:val="00AE72E5"/>
    <w:rsid w:val="00AF5817"/>
    <w:rsid w:val="00AF5B9F"/>
    <w:rsid w:val="00B012DE"/>
    <w:rsid w:val="00B01AE5"/>
    <w:rsid w:val="00B0347E"/>
    <w:rsid w:val="00B118BD"/>
    <w:rsid w:val="00B24359"/>
    <w:rsid w:val="00B25341"/>
    <w:rsid w:val="00B26290"/>
    <w:rsid w:val="00B3186D"/>
    <w:rsid w:val="00B46B34"/>
    <w:rsid w:val="00B522EA"/>
    <w:rsid w:val="00B60179"/>
    <w:rsid w:val="00B62042"/>
    <w:rsid w:val="00B66A8B"/>
    <w:rsid w:val="00B66B21"/>
    <w:rsid w:val="00B83D94"/>
    <w:rsid w:val="00B90CF7"/>
    <w:rsid w:val="00B91259"/>
    <w:rsid w:val="00B92029"/>
    <w:rsid w:val="00B93F2B"/>
    <w:rsid w:val="00BA3896"/>
    <w:rsid w:val="00BA4E8F"/>
    <w:rsid w:val="00BB08CF"/>
    <w:rsid w:val="00BC1BE6"/>
    <w:rsid w:val="00BC4067"/>
    <w:rsid w:val="00BC7B9F"/>
    <w:rsid w:val="00BD0527"/>
    <w:rsid w:val="00BD7031"/>
    <w:rsid w:val="00BE65D8"/>
    <w:rsid w:val="00BE679F"/>
    <w:rsid w:val="00BE7EB4"/>
    <w:rsid w:val="00C10C99"/>
    <w:rsid w:val="00C12C38"/>
    <w:rsid w:val="00C20090"/>
    <w:rsid w:val="00C24F13"/>
    <w:rsid w:val="00C2688A"/>
    <w:rsid w:val="00C2734F"/>
    <w:rsid w:val="00C336BD"/>
    <w:rsid w:val="00C43F7D"/>
    <w:rsid w:val="00C44601"/>
    <w:rsid w:val="00C45222"/>
    <w:rsid w:val="00C6396C"/>
    <w:rsid w:val="00C734B9"/>
    <w:rsid w:val="00C87B28"/>
    <w:rsid w:val="00C87C85"/>
    <w:rsid w:val="00CA5560"/>
    <w:rsid w:val="00CB5652"/>
    <w:rsid w:val="00CB6992"/>
    <w:rsid w:val="00CB7FF4"/>
    <w:rsid w:val="00CC0E20"/>
    <w:rsid w:val="00CC3FB2"/>
    <w:rsid w:val="00CC4953"/>
    <w:rsid w:val="00CC794E"/>
    <w:rsid w:val="00CE2A73"/>
    <w:rsid w:val="00CE2B56"/>
    <w:rsid w:val="00CE367A"/>
    <w:rsid w:val="00CE42E0"/>
    <w:rsid w:val="00CE5F4E"/>
    <w:rsid w:val="00CE5F7F"/>
    <w:rsid w:val="00CE710C"/>
    <w:rsid w:val="00CF1246"/>
    <w:rsid w:val="00CF248E"/>
    <w:rsid w:val="00CF3218"/>
    <w:rsid w:val="00CF48C6"/>
    <w:rsid w:val="00D00835"/>
    <w:rsid w:val="00D02DD3"/>
    <w:rsid w:val="00D05B51"/>
    <w:rsid w:val="00D1145B"/>
    <w:rsid w:val="00D12DA3"/>
    <w:rsid w:val="00D138B8"/>
    <w:rsid w:val="00D2400B"/>
    <w:rsid w:val="00D24DFC"/>
    <w:rsid w:val="00D3165E"/>
    <w:rsid w:val="00D32CC7"/>
    <w:rsid w:val="00D5186E"/>
    <w:rsid w:val="00D64643"/>
    <w:rsid w:val="00D668F9"/>
    <w:rsid w:val="00D67CCF"/>
    <w:rsid w:val="00D71AB2"/>
    <w:rsid w:val="00D72AF4"/>
    <w:rsid w:val="00D745EA"/>
    <w:rsid w:val="00D77C8F"/>
    <w:rsid w:val="00D87FE9"/>
    <w:rsid w:val="00DB3A97"/>
    <w:rsid w:val="00DB3DFE"/>
    <w:rsid w:val="00DB4C85"/>
    <w:rsid w:val="00DB61A7"/>
    <w:rsid w:val="00DD21ED"/>
    <w:rsid w:val="00DD22FF"/>
    <w:rsid w:val="00DD5289"/>
    <w:rsid w:val="00DE3EE1"/>
    <w:rsid w:val="00DE52BE"/>
    <w:rsid w:val="00DF52E7"/>
    <w:rsid w:val="00E01B69"/>
    <w:rsid w:val="00E07C4E"/>
    <w:rsid w:val="00E171F7"/>
    <w:rsid w:val="00E200FA"/>
    <w:rsid w:val="00E3053E"/>
    <w:rsid w:val="00E33D10"/>
    <w:rsid w:val="00E35D8B"/>
    <w:rsid w:val="00E3770C"/>
    <w:rsid w:val="00E408A8"/>
    <w:rsid w:val="00E4585C"/>
    <w:rsid w:val="00E53F2A"/>
    <w:rsid w:val="00E54E2F"/>
    <w:rsid w:val="00E56D0E"/>
    <w:rsid w:val="00E632A8"/>
    <w:rsid w:val="00E67D13"/>
    <w:rsid w:val="00E71696"/>
    <w:rsid w:val="00E76067"/>
    <w:rsid w:val="00E821E2"/>
    <w:rsid w:val="00E83FC4"/>
    <w:rsid w:val="00E87878"/>
    <w:rsid w:val="00E91B80"/>
    <w:rsid w:val="00E92CFA"/>
    <w:rsid w:val="00E93065"/>
    <w:rsid w:val="00EA1363"/>
    <w:rsid w:val="00EA775B"/>
    <w:rsid w:val="00EB4829"/>
    <w:rsid w:val="00EC37A8"/>
    <w:rsid w:val="00EC54E5"/>
    <w:rsid w:val="00EC5965"/>
    <w:rsid w:val="00EC6D27"/>
    <w:rsid w:val="00ED17B3"/>
    <w:rsid w:val="00ED467E"/>
    <w:rsid w:val="00ED4ED0"/>
    <w:rsid w:val="00EE6DB0"/>
    <w:rsid w:val="00EF1476"/>
    <w:rsid w:val="00EF1D9F"/>
    <w:rsid w:val="00EF3222"/>
    <w:rsid w:val="00F03EAA"/>
    <w:rsid w:val="00F0538B"/>
    <w:rsid w:val="00F07911"/>
    <w:rsid w:val="00F104FF"/>
    <w:rsid w:val="00F134F7"/>
    <w:rsid w:val="00F14E00"/>
    <w:rsid w:val="00F20E81"/>
    <w:rsid w:val="00F239C4"/>
    <w:rsid w:val="00F2616A"/>
    <w:rsid w:val="00F26B02"/>
    <w:rsid w:val="00F30B78"/>
    <w:rsid w:val="00F37EAF"/>
    <w:rsid w:val="00F42C98"/>
    <w:rsid w:val="00F44692"/>
    <w:rsid w:val="00F4624F"/>
    <w:rsid w:val="00F512EF"/>
    <w:rsid w:val="00F526BB"/>
    <w:rsid w:val="00F56420"/>
    <w:rsid w:val="00F5788A"/>
    <w:rsid w:val="00F65CCD"/>
    <w:rsid w:val="00F671AA"/>
    <w:rsid w:val="00F67A25"/>
    <w:rsid w:val="00F717AB"/>
    <w:rsid w:val="00F71C02"/>
    <w:rsid w:val="00F730E8"/>
    <w:rsid w:val="00F73CFD"/>
    <w:rsid w:val="00FA2CB9"/>
    <w:rsid w:val="00FB091A"/>
    <w:rsid w:val="00FC5AAD"/>
    <w:rsid w:val="00FD0325"/>
    <w:rsid w:val="00FE78F8"/>
    <w:rsid w:val="00FF07AE"/>
    <w:rsid w:val="00FF624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black"/>
    </o:shapedefaults>
    <o:shapelayout v:ext="edit">
      <o:idmap v:ext="edit" data="1"/>
    </o:shapelayout>
  </w:shapeDefaults>
  <w:decimalSymbol w:val="."/>
  <w:listSeparator w:val=","/>
  <w14:docId w14:val="1BE0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3"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132DB"/>
    <w:pPr>
      <w:spacing w:after="140"/>
      <w:ind w:right="-48"/>
    </w:pPr>
  </w:style>
  <w:style w:type="paragraph" w:styleId="Heading1">
    <w:name w:val="heading 1"/>
    <w:basedOn w:val="Normal"/>
    <w:next w:val="Normal"/>
    <w:link w:val="Heading1Char"/>
    <w:uiPriority w:val="9"/>
    <w:qFormat/>
    <w:rsid w:val="005132DB"/>
    <w:pPr>
      <w:spacing w:after="0" w:line="240" w:lineRule="auto"/>
      <w:contextualSpacing/>
      <w:outlineLvl w:val="0"/>
    </w:pPr>
    <w:rPr>
      <w:rFonts w:ascii="Arial Narrow" w:hAnsi="Arial Narrow"/>
      <w:color w:val="1460AA"/>
      <w:sz w:val="144"/>
      <w:szCs w:val="40"/>
    </w:rPr>
  </w:style>
  <w:style w:type="paragraph" w:styleId="Heading2">
    <w:name w:val="heading 2"/>
    <w:basedOn w:val="Normal"/>
    <w:next w:val="Normal"/>
    <w:link w:val="Heading2Char"/>
    <w:uiPriority w:val="2"/>
    <w:qFormat/>
    <w:rsid w:val="005132DB"/>
    <w:pPr>
      <w:spacing w:before="360" w:after="0"/>
      <w:ind w:right="-45"/>
      <w:outlineLvl w:val="1"/>
    </w:pPr>
    <w:rPr>
      <w:rFonts w:ascii="Arial" w:hAnsi="Arial" w:cs="Arial"/>
      <w:b/>
      <w:color w:val="1460AA"/>
      <w:sz w:val="36"/>
      <w:szCs w:val="33"/>
    </w:rPr>
  </w:style>
  <w:style w:type="paragraph" w:styleId="Heading3">
    <w:name w:val="heading 3"/>
    <w:basedOn w:val="Normal"/>
    <w:next w:val="Normal"/>
    <w:link w:val="Heading3Char"/>
    <w:uiPriority w:val="3"/>
    <w:qFormat/>
    <w:rsid w:val="005132DB"/>
    <w:pPr>
      <w:spacing w:before="60" w:after="0"/>
      <w:outlineLvl w:val="2"/>
    </w:pPr>
    <w:rPr>
      <w:rFonts w:ascii="Arial" w:hAnsi="Arial" w:cs="Arial"/>
      <w:color w:val="1460AA"/>
      <w:sz w:val="32"/>
      <w:szCs w:val="32"/>
    </w:rPr>
  </w:style>
  <w:style w:type="paragraph" w:styleId="Heading4">
    <w:name w:val="heading 4"/>
    <w:basedOn w:val="Normal"/>
    <w:next w:val="Normal"/>
    <w:link w:val="Heading4Char"/>
    <w:uiPriority w:val="4"/>
    <w:qFormat/>
    <w:rsid w:val="00A91C0E"/>
    <w:pPr>
      <w:keepNext/>
      <w:keepLines/>
      <w:spacing w:before="20" w:after="0"/>
      <w:outlineLvl w:val="3"/>
    </w:pPr>
    <w:rPr>
      <w:rFonts w:eastAsiaTheme="majorEastAsia" w:cstheme="majorBidi"/>
      <w:b/>
      <w:bCs/>
      <w:iCs/>
      <w:szCs w:val="24"/>
      <w:u w:val="single"/>
    </w:rPr>
  </w:style>
  <w:style w:type="paragraph" w:styleId="Heading5">
    <w:name w:val="heading 5"/>
    <w:basedOn w:val="Normal"/>
    <w:next w:val="Normal"/>
    <w:link w:val="Heading5Char"/>
    <w:uiPriority w:val="5"/>
    <w:qFormat/>
    <w:rsid w:val="002E40EE"/>
    <w:pPr>
      <w:keepNext/>
      <w:keepLines/>
      <w:spacing w:before="40" w:after="0"/>
      <w:outlineLvl w:val="4"/>
    </w:pPr>
    <w:rPr>
      <w:rFonts w:asciiTheme="majorHAnsi" w:eastAsiaTheme="majorEastAsia" w:hAnsiTheme="majorHAnsi" w:cstheme="majorBidi"/>
      <w:b/>
      <w:i/>
      <w:color w:val="000000" w:themeColor="accent1" w:themeShade="7F"/>
    </w:rPr>
  </w:style>
  <w:style w:type="paragraph" w:styleId="Heading6">
    <w:name w:val="heading 6"/>
    <w:basedOn w:val="Normal"/>
    <w:next w:val="Normal"/>
    <w:link w:val="Heading6Char"/>
    <w:uiPriority w:val="6"/>
    <w:unhideWhenUsed/>
    <w:rsid w:val="00012921"/>
    <w:pPr>
      <w:keepNext/>
      <w:keepLines/>
      <w:spacing w:before="200" w:after="0"/>
      <w:outlineLvl w:val="5"/>
    </w:pPr>
    <w:rPr>
      <w:rFonts w:asciiTheme="majorHAnsi" w:eastAsiaTheme="majorEastAsia" w:hAnsiTheme="majorHAnsi" w:cstheme="majorBidi"/>
      <w:iCs/>
      <w:color w:val="00000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2DB"/>
    <w:rPr>
      <w:rFonts w:ascii="Arial Narrow" w:hAnsi="Arial Narrow"/>
      <w:color w:val="1460AA"/>
      <w:sz w:val="144"/>
      <w:szCs w:val="40"/>
    </w:rPr>
  </w:style>
  <w:style w:type="character" w:customStyle="1" w:styleId="Heading2Char">
    <w:name w:val="Heading 2 Char"/>
    <w:basedOn w:val="DefaultParagraphFont"/>
    <w:link w:val="Heading2"/>
    <w:uiPriority w:val="2"/>
    <w:rsid w:val="005132DB"/>
    <w:rPr>
      <w:rFonts w:ascii="Arial" w:hAnsi="Arial" w:cs="Arial"/>
      <w:b/>
      <w:color w:val="1460AA"/>
      <w:sz w:val="36"/>
      <w:szCs w:val="33"/>
    </w:rPr>
  </w:style>
  <w:style w:type="character" w:customStyle="1" w:styleId="Heading3Char">
    <w:name w:val="Heading 3 Char"/>
    <w:basedOn w:val="DefaultParagraphFont"/>
    <w:link w:val="Heading3"/>
    <w:uiPriority w:val="3"/>
    <w:rsid w:val="005132DB"/>
    <w:rPr>
      <w:rFonts w:ascii="Arial" w:hAnsi="Arial" w:cs="Arial"/>
      <w:color w:val="1460AA"/>
      <w:sz w:val="32"/>
      <w:szCs w:val="32"/>
    </w:rPr>
  </w:style>
  <w:style w:type="table" w:customStyle="1" w:styleId="EYStandardtable-grey">
    <w:name w:val="EY Standard table - grey"/>
    <w:basedOn w:val="TableNormal"/>
    <w:uiPriority w:val="99"/>
    <w:rsid w:val="00DD5289"/>
    <w:pPr>
      <w:spacing w:after="0" w:line="240" w:lineRule="auto"/>
    </w:pPr>
    <w:rPr>
      <w:rFonts w:ascii="Times New Roman" w:eastAsia="Times New Roman" w:hAnsi="Times New Roman" w:cs="Times New Roman"/>
      <w:sz w:val="20"/>
      <w:szCs w:val="20"/>
      <w:lang w:eastAsia="en-AU"/>
    </w:rPr>
    <w:tblPr>
      <w:tblBorders>
        <w:insideH w:val="single" w:sz="4" w:space="0" w:color="999999" w:themeColor="accent2"/>
      </w:tblBorders>
    </w:tblPr>
    <w:tblStylePr w:type="firstRow">
      <w:tblPr/>
      <w:tcPr>
        <w:tcBorders>
          <w:top w:val="nil"/>
          <w:left w:val="nil"/>
          <w:bottom w:val="nil"/>
          <w:right w:val="nil"/>
          <w:insideH w:val="single" w:sz="18" w:space="0" w:color="FFFFFF" w:themeColor="background1"/>
          <w:insideV w:val="single" w:sz="18" w:space="0" w:color="FFFFFF" w:themeColor="background1"/>
          <w:tl2br w:val="nil"/>
          <w:tr2bl w:val="nil"/>
        </w:tcBorders>
        <w:shd w:val="clear" w:color="auto" w:fill="000000" w:themeFill="accent1"/>
      </w:tcPr>
    </w:tblStylePr>
  </w:style>
  <w:style w:type="table" w:customStyle="1" w:styleId="PHAROSShadedText">
    <w:name w:val="PHAROS Shaded Text"/>
    <w:basedOn w:val="TableNormal"/>
    <w:uiPriority w:val="99"/>
    <w:rsid w:val="00085B2A"/>
    <w:pPr>
      <w:spacing w:after="0" w:line="240" w:lineRule="auto"/>
    </w:pPr>
    <w:tblPr>
      <w:tblCellMar>
        <w:top w:w="142" w:type="dxa"/>
        <w:left w:w="142" w:type="dxa"/>
        <w:right w:w="142" w:type="dxa"/>
      </w:tblCellMar>
    </w:tblPr>
    <w:tcPr>
      <w:shd w:val="clear" w:color="auto" w:fill="E6EAEE"/>
    </w:tcPr>
  </w:style>
  <w:style w:type="paragraph" w:styleId="BalloonText">
    <w:name w:val="Balloon Text"/>
    <w:basedOn w:val="Normal"/>
    <w:link w:val="BalloonTextChar"/>
    <w:uiPriority w:val="99"/>
    <w:semiHidden/>
    <w:unhideWhenUsed/>
    <w:rsid w:val="00A318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C9"/>
    <w:rPr>
      <w:rFonts w:ascii="Tahoma" w:hAnsi="Tahoma" w:cs="Tahoma"/>
      <w:sz w:val="16"/>
      <w:szCs w:val="16"/>
    </w:rPr>
  </w:style>
  <w:style w:type="paragraph" w:styleId="Header">
    <w:name w:val="header"/>
    <w:basedOn w:val="Normal"/>
    <w:link w:val="HeaderChar"/>
    <w:uiPriority w:val="99"/>
    <w:unhideWhenUsed/>
    <w:rsid w:val="00A7286E"/>
    <w:pPr>
      <w:spacing w:after="1680" w:line="840" w:lineRule="exact"/>
    </w:pPr>
    <w:rPr>
      <w:caps/>
      <w:color w:val="000000" w:themeColor="text2"/>
      <w:sz w:val="84"/>
      <w:szCs w:val="84"/>
    </w:rPr>
  </w:style>
  <w:style w:type="character" w:customStyle="1" w:styleId="HeaderChar">
    <w:name w:val="Header Char"/>
    <w:basedOn w:val="DefaultParagraphFont"/>
    <w:link w:val="Header"/>
    <w:uiPriority w:val="99"/>
    <w:rsid w:val="00A7286E"/>
    <w:rPr>
      <w:caps/>
      <w:color w:val="000000" w:themeColor="text2"/>
      <w:sz w:val="84"/>
      <w:szCs w:val="84"/>
    </w:rPr>
  </w:style>
  <w:style w:type="paragraph" w:styleId="Footer">
    <w:name w:val="footer"/>
    <w:basedOn w:val="Normal"/>
    <w:link w:val="FooterChar"/>
    <w:uiPriority w:val="99"/>
    <w:unhideWhenUsed/>
    <w:rsid w:val="00B93F2B"/>
    <w:pPr>
      <w:tabs>
        <w:tab w:val="left" w:pos="255"/>
      </w:tabs>
      <w:autoSpaceDE w:val="0"/>
      <w:autoSpaceDN w:val="0"/>
      <w:adjustRightInd w:val="0"/>
      <w:spacing w:after="113" w:line="200" w:lineRule="atLeast"/>
      <w:textAlignment w:val="center"/>
    </w:pPr>
    <w:rPr>
      <w:rFonts w:asciiTheme="majorHAnsi" w:hAnsiTheme="majorHAnsi" w:cstheme="majorHAnsi"/>
      <w:color w:val="595959" w:themeColor="text1" w:themeTint="A6"/>
      <w:sz w:val="14"/>
      <w:szCs w:val="14"/>
      <w:lang w:val="en-US"/>
    </w:rPr>
  </w:style>
  <w:style w:type="character" w:customStyle="1" w:styleId="FooterChar">
    <w:name w:val="Footer Char"/>
    <w:basedOn w:val="DefaultParagraphFont"/>
    <w:link w:val="Footer"/>
    <w:uiPriority w:val="99"/>
    <w:rsid w:val="00B93F2B"/>
    <w:rPr>
      <w:rFonts w:asciiTheme="majorHAnsi" w:hAnsiTheme="majorHAnsi" w:cstheme="majorHAnsi"/>
      <w:color w:val="595959" w:themeColor="text1" w:themeTint="A6"/>
      <w:sz w:val="14"/>
      <w:szCs w:val="14"/>
      <w:lang w:val="en-US"/>
    </w:rPr>
  </w:style>
  <w:style w:type="paragraph" w:customStyle="1" w:styleId="1pixel">
    <w:name w:val="1 pixel"/>
    <w:basedOn w:val="Footer"/>
    <w:uiPriority w:val="29"/>
    <w:rsid w:val="00164128"/>
    <w:pPr>
      <w:spacing w:after="0" w:line="240" w:lineRule="auto"/>
    </w:pPr>
    <w:rPr>
      <w:sz w:val="2"/>
      <w:szCs w:val="2"/>
    </w:rPr>
  </w:style>
  <w:style w:type="character" w:styleId="Hyperlink">
    <w:name w:val="Hyperlink"/>
    <w:basedOn w:val="DefaultParagraphFont"/>
    <w:uiPriority w:val="99"/>
    <w:rsid w:val="00E07C4E"/>
    <w:rPr>
      <w:color w:val="0000FF"/>
      <w:u w:val="single" w:color="000000" w:themeColor="text2"/>
    </w:rPr>
  </w:style>
  <w:style w:type="table" w:styleId="TableGrid">
    <w:name w:val="Table Grid"/>
    <w:basedOn w:val="TableNormal"/>
    <w:uiPriority w:val="59"/>
    <w:rsid w:val="008B17D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customStyle="1" w:styleId="ReportTitle">
    <w:name w:val="Report Title"/>
    <w:basedOn w:val="Normal"/>
    <w:uiPriority w:val="7"/>
    <w:qFormat/>
    <w:rsid w:val="000353EE"/>
    <w:pPr>
      <w:spacing w:after="0" w:line="920" w:lineRule="exact"/>
      <w:ind w:right="51"/>
    </w:pPr>
    <w:rPr>
      <w:noProof/>
      <w:color w:val="FFFFFF" w:themeColor="background1"/>
      <w:sz w:val="76"/>
      <w:szCs w:val="96"/>
      <w:lang w:eastAsia="en-AU"/>
    </w:rPr>
  </w:style>
  <w:style w:type="paragraph" w:customStyle="1" w:styleId="ReportSubtitle">
    <w:name w:val="Report Subtitle"/>
    <w:basedOn w:val="ReportTitle"/>
    <w:uiPriority w:val="8"/>
    <w:qFormat/>
    <w:rsid w:val="000353EE"/>
    <w:pPr>
      <w:spacing w:before="280" w:line="240" w:lineRule="auto"/>
    </w:pPr>
    <w:rPr>
      <w:sz w:val="48"/>
      <w:szCs w:val="48"/>
    </w:rPr>
  </w:style>
  <w:style w:type="paragraph" w:customStyle="1" w:styleId="Pull-outHeading">
    <w:name w:val="Pull-out Heading"/>
    <w:basedOn w:val="Normal"/>
    <w:uiPriority w:val="13"/>
    <w:qFormat/>
    <w:rsid w:val="00CC794E"/>
    <w:pPr>
      <w:pBdr>
        <w:top w:val="single" w:sz="12" w:space="10" w:color="313133"/>
        <w:left w:val="single" w:sz="12" w:space="10" w:color="313133"/>
        <w:bottom w:val="single" w:sz="12" w:space="10" w:color="313133"/>
        <w:right w:val="single" w:sz="12" w:space="10" w:color="313133"/>
      </w:pBdr>
      <w:spacing w:after="60"/>
      <w:ind w:left="227" w:right="227"/>
    </w:pPr>
    <w:rPr>
      <w:b/>
      <w:color w:val="000000" w:themeColor="text2"/>
      <w:sz w:val="28"/>
    </w:rPr>
  </w:style>
  <w:style w:type="paragraph" w:customStyle="1" w:styleId="Pull-outSubheading">
    <w:name w:val="Pull-out Subheading"/>
    <w:basedOn w:val="Pull-outHeading"/>
    <w:uiPriority w:val="14"/>
    <w:qFormat/>
    <w:rsid w:val="00CC794E"/>
    <w:pPr>
      <w:spacing w:after="120"/>
    </w:pPr>
    <w:rPr>
      <w:i/>
      <w:color w:val="auto"/>
      <w:sz w:val="24"/>
    </w:rPr>
  </w:style>
  <w:style w:type="paragraph" w:customStyle="1" w:styleId="Pull-outText">
    <w:name w:val="Pull-out Text"/>
    <w:basedOn w:val="Pull-outSubheading"/>
    <w:uiPriority w:val="16"/>
    <w:qFormat/>
    <w:rsid w:val="00E3053E"/>
    <w:rPr>
      <w:b w:val="0"/>
      <w:i w:val="0"/>
      <w:sz w:val="22"/>
    </w:rPr>
  </w:style>
  <w:style w:type="paragraph" w:customStyle="1" w:styleId="PageNumber1">
    <w:name w:val="Page Number1"/>
    <w:basedOn w:val="Footer"/>
    <w:uiPriority w:val="17"/>
    <w:qFormat/>
    <w:rsid w:val="008F0C7A"/>
    <w:pPr>
      <w:jc w:val="right"/>
    </w:pPr>
    <w:rPr>
      <w:noProof/>
      <w:color w:val="000000" w:themeColor="text2"/>
      <w:sz w:val="18"/>
      <w:szCs w:val="18"/>
      <w:lang w:val="en-AU" w:eastAsia="en-AU"/>
    </w:rPr>
  </w:style>
  <w:style w:type="paragraph" w:styleId="TOCHeading">
    <w:name w:val="TOC Heading"/>
    <w:basedOn w:val="Heading1"/>
    <w:next w:val="Normal"/>
    <w:uiPriority w:val="39"/>
    <w:unhideWhenUsed/>
    <w:qFormat/>
    <w:rsid w:val="005132DB"/>
    <w:pPr>
      <w:keepNext/>
      <w:keepLines/>
      <w:outlineLvl w:val="9"/>
    </w:pPr>
    <w:rPr>
      <w:rFonts w:eastAsiaTheme="majorEastAsia" w:cs="Arial"/>
      <w:b/>
      <w:bCs/>
      <w:szCs w:val="28"/>
      <w:lang w:val="en-US" w:eastAsia="ja-JP"/>
    </w:rPr>
  </w:style>
  <w:style w:type="paragraph" w:styleId="TOC1">
    <w:name w:val="toc 1"/>
    <w:basedOn w:val="Normal"/>
    <w:next w:val="Normal"/>
    <w:autoRedefine/>
    <w:uiPriority w:val="39"/>
    <w:unhideWhenUsed/>
    <w:qFormat/>
    <w:rsid w:val="001D0C47"/>
    <w:pPr>
      <w:tabs>
        <w:tab w:val="right" w:leader="dot" w:pos="9639"/>
      </w:tabs>
      <w:spacing w:before="120" w:after="120" w:line="480" w:lineRule="auto"/>
    </w:pPr>
  </w:style>
  <w:style w:type="paragraph" w:styleId="TOC2">
    <w:name w:val="toc 2"/>
    <w:basedOn w:val="Normal"/>
    <w:next w:val="Normal"/>
    <w:autoRedefine/>
    <w:uiPriority w:val="39"/>
    <w:unhideWhenUsed/>
    <w:qFormat/>
    <w:rsid w:val="00F67A25"/>
    <w:pPr>
      <w:spacing w:after="100"/>
      <w:ind w:left="200"/>
    </w:pPr>
  </w:style>
  <w:style w:type="paragraph" w:styleId="TOC3">
    <w:name w:val="toc 3"/>
    <w:basedOn w:val="Normal"/>
    <w:next w:val="Normal"/>
    <w:autoRedefine/>
    <w:uiPriority w:val="39"/>
    <w:unhideWhenUsed/>
    <w:qFormat/>
    <w:rsid w:val="00F67A25"/>
    <w:pPr>
      <w:spacing w:after="100"/>
      <w:ind w:left="400"/>
    </w:pPr>
  </w:style>
  <w:style w:type="character" w:customStyle="1" w:styleId="Heading4Char">
    <w:name w:val="Heading 4 Char"/>
    <w:basedOn w:val="DefaultParagraphFont"/>
    <w:link w:val="Heading4"/>
    <w:uiPriority w:val="4"/>
    <w:rsid w:val="00A91C0E"/>
    <w:rPr>
      <w:rFonts w:ascii="Helvetica Neue" w:eastAsiaTheme="majorEastAsia" w:hAnsi="Helvetica Neue" w:cstheme="majorBidi"/>
      <w:b/>
      <w:bCs/>
      <w:iCs/>
      <w:szCs w:val="24"/>
      <w:u w:val="single"/>
    </w:rPr>
  </w:style>
  <w:style w:type="character" w:styleId="SubtleEmphasis">
    <w:name w:val="Subtle Emphasis"/>
    <w:basedOn w:val="DefaultParagraphFont"/>
    <w:uiPriority w:val="19"/>
    <w:rsid w:val="008F0C7A"/>
    <w:rPr>
      <w:i/>
      <w:iCs/>
      <w:color w:val="808080" w:themeColor="text1" w:themeTint="7F"/>
    </w:rPr>
  </w:style>
  <w:style w:type="character" w:customStyle="1" w:styleId="Heading5Char">
    <w:name w:val="Heading 5 Char"/>
    <w:basedOn w:val="DefaultParagraphFont"/>
    <w:link w:val="Heading5"/>
    <w:uiPriority w:val="5"/>
    <w:rsid w:val="002E40EE"/>
    <w:rPr>
      <w:rFonts w:asciiTheme="majorHAnsi" w:eastAsiaTheme="majorEastAsia" w:hAnsiTheme="majorHAnsi" w:cstheme="majorBidi"/>
      <w:b/>
      <w:i/>
      <w:color w:val="000000" w:themeColor="accent1" w:themeShade="7F"/>
      <w:szCs w:val="20"/>
    </w:rPr>
  </w:style>
  <w:style w:type="paragraph" w:styleId="ListParagraph">
    <w:name w:val="List Paragraph"/>
    <w:basedOn w:val="Normal"/>
    <w:uiPriority w:val="34"/>
    <w:qFormat/>
    <w:rsid w:val="00846B28"/>
    <w:pPr>
      <w:spacing w:after="120" w:line="240" w:lineRule="auto"/>
      <w:ind w:left="720"/>
      <w:contextualSpacing/>
    </w:pPr>
  </w:style>
  <w:style w:type="paragraph" w:styleId="FootnoteText">
    <w:name w:val="footnote text"/>
    <w:basedOn w:val="Normal"/>
    <w:link w:val="FootnoteTextChar"/>
    <w:uiPriority w:val="99"/>
    <w:semiHidden/>
    <w:unhideWhenUsed/>
    <w:rsid w:val="00846B28"/>
    <w:pPr>
      <w:spacing w:after="0" w:line="240" w:lineRule="auto"/>
    </w:pPr>
    <w:rPr>
      <w:sz w:val="20"/>
    </w:rPr>
  </w:style>
  <w:style w:type="character" w:customStyle="1" w:styleId="FootnoteTextChar">
    <w:name w:val="Footnote Text Char"/>
    <w:basedOn w:val="DefaultParagraphFont"/>
    <w:link w:val="FootnoteText"/>
    <w:uiPriority w:val="99"/>
    <w:semiHidden/>
    <w:rsid w:val="00846B28"/>
    <w:rPr>
      <w:sz w:val="20"/>
      <w:szCs w:val="20"/>
    </w:rPr>
  </w:style>
  <w:style w:type="character" w:styleId="FootnoteReference">
    <w:name w:val="footnote reference"/>
    <w:basedOn w:val="DefaultParagraphFont"/>
    <w:uiPriority w:val="99"/>
    <w:semiHidden/>
    <w:unhideWhenUsed/>
    <w:rsid w:val="00846B28"/>
    <w:rPr>
      <w:vertAlign w:val="superscript"/>
    </w:rPr>
  </w:style>
  <w:style w:type="paragraph" w:styleId="Caption">
    <w:name w:val="caption"/>
    <w:basedOn w:val="Normal"/>
    <w:next w:val="Normal"/>
    <w:uiPriority w:val="35"/>
    <w:unhideWhenUsed/>
    <w:qFormat/>
    <w:rsid w:val="00012921"/>
    <w:pPr>
      <w:spacing w:line="240" w:lineRule="auto"/>
    </w:pPr>
    <w:rPr>
      <w:b/>
      <w:bCs/>
      <w:color w:val="000000" w:themeColor="accent1"/>
      <w:sz w:val="18"/>
      <w:szCs w:val="18"/>
    </w:rPr>
  </w:style>
  <w:style w:type="character" w:customStyle="1" w:styleId="Heading6Char">
    <w:name w:val="Heading 6 Char"/>
    <w:basedOn w:val="DefaultParagraphFont"/>
    <w:link w:val="Heading6"/>
    <w:uiPriority w:val="6"/>
    <w:rsid w:val="00CC794E"/>
    <w:rPr>
      <w:rFonts w:asciiTheme="majorHAnsi" w:eastAsiaTheme="majorEastAsia" w:hAnsiTheme="majorHAnsi" w:cstheme="majorBidi"/>
      <w:iCs/>
      <w:color w:val="000000" w:themeColor="accent1" w:themeShade="7F"/>
      <w:sz w:val="24"/>
      <w:szCs w:val="20"/>
    </w:rPr>
  </w:style>
  <w:style w:type="character" w:styleId="BookTitle">
    <w:name w:val="Book Title"/>
    <w:basedOn w:val="DefaultParagraphFont"/>
    <w:uiPriority w:val="33"/>
    <w:rsid w:val="00E67D13"/>
    <w:rPr>
      <w:b/>
      <w:bCs/>
      <w:smallCaps/>
      <w:spacing w:val="5"/>
    </w:rPr>
  </w:style>
  <w:style w:type="paragraph" w:customStyle="1" w:styleId="paragraph">
    <w:name w:val="paragraph"/>
    <w:basedOn w:val="Normal"/>
    <w:uiPriority w:val="39"/>
    <w:rsid w:val="006E29C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g-directive">
    <w:name w:val="ng-directive"/>
    <w:basedOn w:val="DefaultParagraphFont"/>
    <w:uiPriority w:val="39"/>
    <w:rsid w:val="006E29C5"/>
  </w:style>
  <w:style w:type="character" w:styleId="FollowedHyperlink">
    <w:name w:val="FollowedHyperlink"/>
    <w:basedOn w:val="DefaultParagraphFont"/>
    <w:uiPriority w:val="99"/>
    <w:semiHidden/>
    <w:unhideWhenUsed/>
    <w:rsid w:val="00E07C4E"/>
    <w:rPr>
      <w:color w:val="800080" w:themeColor="followedHyperlink"/>
      <w:u w:val="single"/>
    </w:rPr>
  </w:style>
  <w:style w:type="paragraph" w:customStyle="1" w:styleId="para">
    <w:name w:val="para"/>
    <w:uiPriority w:val="99"/>
    <w:rsid w:val="00D2400B"/>
    <w:pPr>
      <w:keepLines/>
      <w:tabs>
        <w:tab w:val="left" w:pos="0"/>
      </w:tabs>
      <w:autoSpaceDE w:val="0"/>
      <w:autoSpaceDN w:val="0"/>
      <w:spacing w:before="80" w:after="60" w:line="240" w:lineRule="exact"/>
      <w:jc w:val="both"/>
    </w:pPr>
    <w:rPr>
      <w:rFonts w:ascii="Arial" w:eastAsiaTheme="minorEastAsia" w:hAnsi="Arial" w:cs="Arial"/>
    </w:rPr>
  </w:style>
  <w:style w:type="paragraph" w:customStyle="1" w:styleId="headL5">
    <w:name w:val="head:L5"/>
    <w:uiPriority w:val="99"/>
    <w:rsid w:val="00D2400B"/>
    <w:pPr>
      <w:keepNext/>
      <w:keepLines/>
      <w:widowControl w:val="0"/>
      <w:autoSpaceDE w:val="0"/>
      <w:autoSpaceDN w:val="0"/>
      <w:spacing w:before="120" w:after="60" w:line="240" w:lineRule="auto"/>
      <w:outlineLvl w:val="6"/>
    </w:pPr>
    <w:rPr>
      <w:rFonts w:ascii="Arial" w:eastAsiaTheme="minorEastAsia" w:hAnsi="Arial" w:cs="Arial"/>
      <w:b/>
      <w:bCs/>
    </w:rPr>
  </w:style>
  <w:style w:type="character" w:customStyle="1" w:styleId="Chartextitalics11pt">
    <w:name w:val="Char:text italics 11 pt"/>
    <w:basedOn w:val="DefaultParagraphFont"/>
    <w:uiPriority w:val="99"/>
    <w:rsid w:val="00D2400B"/>
    <w:rPr>
      <w:rFonts w:ascii="Arial" w:hAnsi="Arial" w:cs="Arial"/>
      <w:i/>
      <w:iCs/>
      <w:sz w:val="22"/>
      <w:szCs w:val="22"/>
      <w:lang w:val="en-US"/>
    </w:rPr>
  </w:style>
  <w:style w:type="paragraph" w:customStyle="1" w:styleId="acctsacctname">
    <w:name w:val="accts:acctname"/>
    <w:uiPriority w:val="99"/>
    <w:rsid w:val="00D2400B"/>
    <w:pPr>
      <w:autoSpaceDE w:val="0"/>
      <w:autoSpaceDN w:val="0"/>
      <w:spacing w:after="0" w:line="240" w:lineRule="auto"/>
      <w:jc w:val="center"/>
    </w:pPr>
    <w:rPr>
      <w:rFonts w:ascii="Arial" w:eastAsiaTheme="minorEastAsia" w:hAnsi="Arial" w:cs="Arial"/>
      <w:b/>
      <w:bCs/>
      <w:caps/>
      <w:color w:val="808080"/>
      <w:sz w:val="20"/>
      <w:szCs w:val="20"/>
      <w:lang w:val="en-US"/>
    </w:rPr>
  </w:style>
  <w:style w:type="paragraph" w:customStyle="1" w:styleId="Tabletext11pt">
    <w:name w:val="Table:text 11 pt"/>
    <w:uiPriority w:val="99"/>
    <w:rsid w:val="00D2400B"/>
    <w:pPr>
      <w:keepLines/>
      <w:autoSpaceDE w:val="0"/>
      <w:autoSpaceDN w:val="0"/>
      <w:spacing w:before="40" w:after="40" w:line="240" w:lineRule="auto"/>
      <w:jc w:val="both"/>
    </w:pPr>
    <w:rPr>
      <w:rFonts w:ascii="Arial" w:eastAsiaTheme="minorEastAsia" w:hAnsi="Arial" w:cs="Arial"/>
      <w:lang w:val="en-US"/>
    </w:rPr>
  </w:style>
  <w:style w:type="paragraph" w:styleId="Title">
    <w:name w:val="Title"/>
    <w:basedOn w:val="Normal"/>
    <w:next w:val="Normal"/>
    <w:link w:val="TitleChar"/>
    <w:uiPriority w:val="10"/>
    <w:qFormat/>
    <w:rsid w:val="00D2400B"/>
    <w:pPr>
      <w:pBdr>
        <w:bottom w:val="single" w:sz="8" w:space="4" w:color="000000" w:themeColor="accent1"/>
      </w:pBdr>
      <w:spacing w:after="300" w:line="240" w:lineRule="auto"/>
      <w:contextualSpacing/>
    </w:pPr>
    <w:rPr>
      <w:rFonts w:asciiTheme="majorHAnsi" w:eastAsiaTheme="majorEastAsia" w:hAnsiTheme="majorHAnsi" w:cstheme="majorBidi"/>
      <w:spacing w:val="5"/>
      <w:kern w:val="28"/>
      <w:sz w:val="52"/>
      <w:szCs w:val="52"/>
      <w:lang w:val="en-US"/>
    </w:rPr>
  </w:style>
  <w:style w:type="character" w:customStyle="1" w:styleId="TitleChar">
    <w:name w:val="Title Char"/>
    <w:basedOn w:val="DefaultParagraphFont"/>
    <w:link w:val="Title"/>
    <w:uiPriority w:val="10"/>
    <w:rsid w:val="00D2400B"/>
    <w:rPr>
      <w:rFonts w:asciiTheme="majorHAnsi" w:eastAsiaTheme="majorEastAsia" w:hAnsiTheme="majorHAnsi" w:cstheme="majorBidi"/>
      <w:spacing w:val="5"/>
      <w:kern w:val="28"/>
      <w:sz w:val="52"/>
      <w:szCs w:val="52"/>
      <w:lang w:val="en-US"/>
    </w:rPr>
  </w:style>
  <w:style w:type="table" w:customStyle="1" w:styleId="TableGrid1">
    <w:name w:val="Table Grid1"/>
    <w:basedOn w:val="TableNormal"/>
    <w:next w:val="TableGrid"/>
    <w:uiPriority w:val="59"/>
    <w:rsid w:val="00D2400B"/>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24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132DB"/>
    <w:rPr>
      <w:rFonts w:ascii="Arial" w:hAnsi="Arial" w:cs="Arial"/>
      <w:color w:val="1460AA"/>
      <w:sz w:val="28"/>
    </w:rPr>
  </w:style>
  <w:style w:type="character" w:styleId="Emphasis">
    <w:name w:val="Emphasis"/>
    <w:basedOn w:val="DefaultParagraphFont"/>
    <w:autoRedefine/>
    <w:uiPriority w:val="20"/>
    <w:rsid w:val="00C6396C"/>
    <w:rPr>
      <w:iCs/>
    </w:rPr>
  </w:style>
  <w:style w:type="paragraph" w:styleId="Quote">
    <w:name w:val="Quote"/>
    <w:basedOn w:val="Normal"/>
    <w:next w:val="Normal"/>
    <w:link w:val="QuoteChar"/>
    <w:uiPriority w:val="29"/>
    <w:qFormat/>
    <w:rsid w:val="005132DB"/>
    <w:rPr>
      <w:rFonts w:ascii="Arial" w:hAnsi="Arial" w:cs="Arial"/>
      <w:i/>
      <w:iCs/>
      <w:color w:val="1460AA"/>
      <w:sz w:val="32"/>
    </w:rPr>
  </w:style>
  <w:style w:type="character" w:customStyle="1" w:styleId="QuoteChar">
    <w:name w:val="Quote Char"/>
    <w:basedOn w:val="DefaultParagraphFont"/>
    <w:link w:val="Quote"/>
    <w:uiPriority w:val="29"/>
    <w:rsid w:val="005132DB"/>
    <w:rPr>
      <w:rFonts w:ascii="Arial" w:hAnsi="Arial" w:cs="Arial"/>
      <w:i/>
      <w:iCs/>
      <w:color w:val="1460AA"/>
      <w:sz w:val="32"/>
    </w:rPr>
  </w:style>
  <w:style w:type="character" w:styleId="CommentReference">
    <w:name w:val="annotation reference"/>
    <w:basedOn w:val="DefaultParagraphFont"/>
    <w:uiPriority w:val="99"/>
    <w:semiHidden/>
    <w:unhideWhenUsed/>
    <w:rsid w:val="00255A6C"/>
    <w:rPr>
      <w:sz w:val="16"/>
      <w:szCs w:val="16"/>
    </w:rPr>
  </w:style>
  <w:style w:type="paragraph" w:styleId="CommentText">
    <w:name w:val="annotation text"/>
    <w:basedOn w:val="Normal"/>
    <w:link w:val="CommentTextChar"/>
    <w:uiPriority w:val="99"/>
    <w:semiHidden/>
    <w:unhideWhenUsed/>
    <w:rsid w:val="00255A6C"/>
    <w:pPr>
      <w:spacing w:line="240" w:lineRule="auto"/>
    </w:pPr>
    <w:rPr>
      <w:sz w:val="20"/>
    </w:rPr>
  </w:style>
  <w:style w:type="character" w:customStyle="1" w:styleId="CommentTextChar">
    <w:name w:val="Comment Text Char"/>
    <w:basedOn w:val="DefaultParagraphFont"/>
    <w:link w:val="CommentText"/>
    <w:uiPriority w:val="99"/>
    <w:semiHidden/>
    <w:rsid w:val="00255A6C"/>
    <w:rPr>
      <w:sz w:val="20"/>
      <w:szCs w:val="20"/>
    </w:rPr>
  </w:style>
  <w:style w:type="paragraph" w:styleId="CommentSubject">
    <w:name w:val="annotation subject"/>
    <w:basedOn w:val="CommentText"/>
    <w:next w:val="CommentText"/>
    <w:link w:val="CommentSubjectChar"/>
    <w:uiPriority w:val="99"/>
    <w:semiHidden/>
    <w:unhideWhenUsed/>
    <w:rsid w:val="00255A6C"/>
    <w:rPr>
      <w:b/>
      <w:bCs/>
    </w:rPr>
  </w:style>
  <w:style w:type="character" w:customStyle="1" w:styleId="CommentSubjectChar">
    <w:name w:val="Comment Subject Char"/>
    <w:basedOn w:val="CommentTextChar"/>
    <w:link w:val="CommentSubject"/>
    <w:uiPriority w:val="99"/>
    <w:semiHidden/>
    <w:rsid w:val="00255A6C"/>
    <w:rPr>
      <w:b/>
      <w:bCs/>
      <w:sz w:val="20"/>
      <w:szCs w:val="20"/>
    </w:rPr>
  </w:style>
  <w:style w:type="paragraph" w:customStyle="1" w:styleId="Default">
    <w:name w:val="Default"/>
    <w:rsid w:val="00930EAE"/>
    <w:pPr>
      <w:autoSpaceDE w:val="0"/>
      <w:autoSpaceDN w:val="0"/>
      <w:adjustRightInd w:val="0"/>
      <w:spacing w:after="0" w:line="240" w:lineRule="auto"/>
    </w:pPr>
    <w:rPr>
      <w:rFonts w:ascii="Arial" w:hAnsi="Arial" w:cs="Arial"/>
      <w:color w:val="000000"/>
      <w:sz w:val="24"/>
      <w:szCs w:val="24"/>
    </w:rPr>
  </w:style>
  <w:style w:type="paragraph" w:styleId="DocumentMap">
    <w:name w:val="Document Map"/>
    <w:basedOn w:val="Normal"/>
    <w:link w:val="DocumentMapChar"/>
    <w:uiPriority w:val="99"/>
    <w:semiHidden/>
    <w:unhideWhenUsed/>
    <w:rsid w:val="00CE2A7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E2A73"/>
    <w:rPr>
      <w:rFonts w:ascii="Lucida Grande" w:hAnsi="Lucida Grande" w:cs="Lucida Grande"/>
      <w:sz w:val="24"/>
      <w:szCs w:val="24"/>
    </w:rPr>
  </w:style>
  <w:style w:type="character" w:styleId="IntenseEmphasis">
    <w:name w:val="Intense Emphasis"/>
    <w:basedOn w:val="DefaultParagraphFont"/>
    <w:uiPriority w:val="21"/>
    <w:qFormat/>
    <w:rsid w:val="008266C1"/>
    <w:rPr>
      <w:b/>
      <w:bCs/>
      <w:iCs/>
      <w:color w:val="000000" w:themeColor="accent1"/>
      <w:u w:val="single"/>
    </w:rPr>
  </w:style>
  <w:style w:type="paragraph" w:customStyle="1" w:styleId="BasicParagraph">
    <w:name w:val="[Basic Paragraph]"/>
    <w:basedOn w:val="Normal"/>
    <w:uiPriority w:val="99"/>
    <w:rsid w:val="005A23E5"/>
    <w:pPr>
      <w:widowControl w:val="0"/>
      <w:autoSpaceDE w:val="0"/>
      <w:autoSpaceDN w:val="0"/>
      <w:adjustRightInd w:val="0"/>
      <w:spacing w:after="0" w:line="288" w:lineRule="auto"/>
      <w:ind w:right="0"/>
      <w:textAlignment w:val="center"/>
    </w:pPr>
    <w:rPr>
      <w:rFonts w:ascii="MinionPro-Regular" w:hAnsi="MinionPro-Regular" w:cs="MinionPro-Regular"/>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3"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132DB"/>
    <w:pPr>
      <w:spacing w:after="140"/>
      <w:ind w:right="-48"/>
    </w:pPr>
  </w:style>
  <w:style w:type="paragraph" w:styleId="Heading1">
    <w:name w:val="heading 1"/>
    <w:basedOn w:val="Normal"/>
    <w:next w:val="Normal"/>
    <w:link w:val="Heading1Char"/>
    <w:uiPriority w:val="9"/>
    <w:qFormat/>
    <w:rsid w:val="005132DB"/>
    <w:pPr>
      <w:spacing w:after="0" w:line="240" w:lineRule="auto"/>
      <w:contextualSpacing/>
      <w:outlineLvl w:val="0"/>
    </w:pPr>
    <w:rPr>
      <w:rFonts w:ascii="Arial Narrow" w:hAnsi="Arial Narrow"/>
      <w:color w:val="1460AA"/>
      <w:sz w:val="144"/>
      <w:szCs w:val="40"/>
    </w:rPr>
  </w:style>
  <w:style w:type="paragraph" w:styleId="Heading2">
    <w:name w:val="heading 2"/>
    <w:basedOn w:val="Normal"/>
    <w:next w:val="Normal"/>
    <w:link w:val="Heading2Char"/>
    <w:uiPriority w:val="2"/>
    <w:qFormat/>
    <w:rsid w:val="005132DB"/>
    <w:pPr>
      <w:spacing w:before="360" w:after="0"/>
      <w:ind w:right="-45"/>
      <w:outlineLvl w:val="1"/>
    </w:pPr>
    <w:rPr>
      <w:rFonts w:ascii="Arial" w:hAnsi="Arial" w:cs="Arial"/>
      <w:b/>
      <w:color w:val="1460AA"/>
      <w:sz w:val="36"/>
      <w:szCs w:val="33"/>
    </w:rPr>
  </w:style>
  <w:style w:type="paragraph" w:styleId="Heading3">
    <w:name w:val="heading 3"/>
    <w:basedOn w:val="Normal"/>
    <w:next w:val="Normal"/>
    <w:link w:val="Heading3Char"/>
    <w:uiPriority w:val="3"/>
    <w:qFormat/>
    <w:rsid w:val="005132DB"/>
    <w:pPr>
      <w:spacing w:before="60" w:after="0"/>
      <w:outlineLvl w:val="2"/>
    </w:pPr>
    <w:rPr>
      <w:rFonts w:ascii="Arial" w:hAnsi="Arial" w:cs="Arial"/>
      <w:color w:val="1460AA"/>
      <w:sz w:val="32"/>
      <w:szCs w:val="32"/>
    </w:rPr>
  </w:style>
  <w:style w:type="paragraph" w:styleId="Heading4">
    <w:name w:val="heading 4"/>
    <w:basedOn w:val="Normal"/>
    <w:next w:val="Normal"/>
    <w:link w:val="Heading4Char"/>
    <w:uiPriority w:val="4"/>
    <w:qFormat/>
    <w:rsid w:val="00A91C0E"/>
    <w:pPr>
      <w:keepNext/>
      <w:keepLines/>
      <w:spacing w:before="20" w:after="0"/>
      <w:outlineLvl w:val="3"/>
    </w:pPr>
    <w:rPr>
      <w:rFonts w:eastAsiaTheme="majorEastAsia" w:cstheme="majorBidi"/>
      <w:b/>
      <w:bCs/>
      <w:iCs/>
      <w:szCs w:val="24"/>
      <w:u w:val="single"/>
    </w:rPr>
  </w:style>
  <w:style w:type="paragraph" w:styleId="Heading5">
    <w:name w:val="heading 5"/>
    <w:basedOn w:val="Normal"/>
    <w:next w:val="Normal"/>
    <w:link w:val="Heading5Char"/>
    <w:uiPriority w:val="5"/>
    <w:qFormat/>
    <w:rsid w:val="002E40EE"/>
    <w:pPr>
      <w:keepNext/>
      <w:keepLines/>
      <w:spacing w:before="40" w:after="0"/>
      <w:outlineLvl w:val="4"/>
    </w:pPr>
    <w:rPr>
      <w:rFonts w:asciiTheme="majorHAnsi" w:eastAsiaTheme="majorEastAsia" w:hAnsiTheme="majorHAnsi" w:cstheme="majorBidi"/>
      <w:b/>
      <w:i/>
      <w:color w:val="000000" w:themeColor="accent1" w:themeShade="7F"/>
    </w:rPr>
  </w:style>
  <w:style w:type="paragraph" w:styleId="Heading6">
    <w:name w:val="heading 6"/>
    <w:basedOn w:val="Normal"/>
    <w:next w:val="Normal"/>
    <w:link w:val="Heading6Char"/>
    <w:uiPriority w:val="6"/>
    <w:unhideWhenUsed/>
    <w:rsid w:val="00012921"/>
    <w:pPr>
      <w:keepNext/>
      <w:keepLines/>
      <w:spacing w:before="200" w:after="0"/>
      <w:outlineLvl w:val="5"/>
    </w:pPr>
    <w:rPr>
      <w:rFonts w:asciiTheme="majorHAnsi" w:eastAsiaTheme="majorEastAsia" w:hAnsiTheme="majorHAnsi" w:cstheme="majorBidi"/>
      <w:iCs/>
      <w:color w:val="00000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2DB"/>
    <w:rPr>
      <w:rFonts w:ascii="Arial Narrow" w:hAnsi="Arial Narrow"/>
      <w:color w:val="1460AA"/>
      <w:sz w:val="144"/>
      <w:szCs w:val="40"/>
    </w:rPr>
  </w:style>
  <w:style w:type="character" w:customStyle="1" w:styleId="Heading2Char">
    <w:name w:val="Heading 2 Char"/>
    <w:basedOn w:val="DefaultParagraphFont"/>
    <w:link w:val="Heading2"/>
    <w:uiPriority w:val="2"/>
    <w:rsid w:val="005132DB"/>
    <w:rPr>
      <w:rFonts w:ascii="Arial" w:hAnsi="Arial" w:cs="Arial"/>
      <w:b/>
      <w:color w:val="1460AA"/>
      <w:sz w:val="36"/>
      <w:szCs w:val="33"/>
    </w:rPr>
  </w:style>
  <w:style w:type="character" w:customStyle="1" w:styleId="Heading3Char">
    <w:name w:val="Heading 3 Char"/>
    <w:basedOn w:val="DefaultParagraphFont"/>
    <w:link w:val="Heading3"/>
    <w:uiPriority w:val="3"/>
    <w:rsid w:val="005132DB"/>
    <w:rPr>
      <w:rFonts w:ascii="Arial" w:hAnsi="Arial" w:cs="Arial"/>
      <w:color w:val="1460AA"/>
      <w:sz w:val="32"/>
      <w:szCs w:val="32"/>
    </w:rPr>
  </w:style>
  <w:style w:type="table" w:customStyle="1" w:styleId="EYStandardtable-grey">
    <w:name w:val="EY Standard table - grey"/>
    <w:basedOn w:val="TableNormal"/>
    <w:uiPriority w:val="99"/>
    <w:rsid w:val="00DD5289"/>
    <w:pPr>
      <w:spacing w:after="0" w:line="240" w:lineRule="auto"/>
    </w:pPr>
    <w:rPr>
      <w:rFonts w:ascii="Times New Roman" w:eastAsia="Times New Roman" w:hAnsi="Times New Roman" w:cs="Times New Roman"/>
      <w:sz w:val="20"/>
      <w:szCs w:val="20"/>
      <w:lang w:eastAsia="en-AU"/>
    </w:rPr>
    <w:tblPr>
      <w:tblBorders>
        <w:insideH w:val="single" w:sz="4" w:space="0" w:color="999999" w:themeColor="accent2"/>
      </w:tblBorders>
    </w:tblPr>
    <w:tblStylePr w:type="firstRow">
      <w:tblPr/>
      <w:tcPr>
        <w:tcBorders>
          <w:top w:val="nil"/>
          <w:left w:val="nil"/>
          <w:bottom w:val="nil"/>
          <w:right w:val="nil"/>
          <w:insideH w:val="single" w:sz="18" w:space="0" w:color="FFFFFF" w:themeColor="background1"/>
          <w:insideV w:val="single" w:sz="18" w:space="0" w:color="FFFFFF" w:themeColor="background1"/>
          <w:tl2br w:val="nil"/>
          <w:tr2bl w:val="nil"/>
        </w:tcBorders>
        <w:shd w:val="clear" w:color="auto" w:fill="000000" w:themeFill="accent1"/>
      </w:tcPr>
    </w:tblStylePr>
  </w:style>
  <w:style w:type="table" w:customStyle="1" w:styleId="PHAROSShadedText">
    <w:name w:val="PHAROS Shaded Text"/>
    <w:basedOn w:val="TableNormal"/>
    <w:uiPriority w:val="99"/>
    <w:rsid w:val="00085B2A"/>
    <w:pPr>
      <w:spacing w:after="0" w:line="240" w:lineRule="auto"/>
    </w:pPr>
    <w:tblPr>
      <w:tblCellMar>
        <w:top w:w="142" w:type="dxa"/>
        <w:left w:w="142" w:type="dxa"/>
        <w:right w:w="142" w:type="dxa"/>
      </w:tblCellMar>
    </w:tblPr>
    <w:tcPr>
      <w:shd w:val="clear" w:color="auto" w:fill="E6EAEE"/>
    </w:tcPr>
  </w:style>
  <w:style w:type="paragraph" w:styleId="BalloonText">
    <w:name w:val="Balloon Text"/>
    <w:basedOn w:val="Normal"/>
    <w:link w:val="BalloonTextChar"/>
    <w:uiPriority w:val="99"/>
    <w:semiHidden/>
    <w:unhideWhenUsed/>
    <w:rsid w:val="00A318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C9"/>
    <w:rPr>
      <w:rFonts w:ascii="Tahoma" w:hAnsi="Tahoma" w:cs="Tahoma"/>
      <w:sz w:val="16"/>
      <w:szCs w:val="16"/>
    </w:rPr>
  </w:style>
  <w:style w:type="paragraph" w:styleId="Header">
    <w:name w:val="header"/>
    <w:basedOn w:val="Normal"/>
    <w:link w:val="HeaderChar"/>
    <w:uiPriority w:val="99"/>
    <w:unhideWhenUsed/>
    <w:rsid w:val="00A7286E"/>
    <w:pPr>
      <w:spacing w:after="1680" w:line="840" w:lineRule="exact"/>
    </w:pPr>
    <w:rPr>
      <w:caps/>
      <w:color w:val="000000" w:themeColor="text2"/>
      <w:sz w:val="84"/>
      <w:szCs w:val="84"/>
    </w:rPr>
  </w:style>
  <w:style w:type="character" w:customStyle="1" w:styleId="HeaderChar">
    <w:name w:val="Header Char"/>
    <w:basedOn w:val="DefaultParagraphFont"/>
    <w:link w:val="Header"/>
    <w:uiPriority w:val="99"/>
    <w:rsid w:val="00A7286E"/>
    <w:rPr>
      <w:caps/>
      <w:color w:val="000000" w:themeColor="text2"/>
      <w:sz w:val="84"/>
      <w:szCs w:val="84"/>
    </w:rPr>
  </w:style>
  <w:style w:type="paragraph" w:styleId="Footer">
    <w:name w:val="footer"/>
    <w:basedOn w:val="Normal"/>
    <w:link w:val="FooterChar"/>
    <w:uiPriority w:val="99"/>
    <w:unhideWhenUsed/>
    <w:rsid w:val="00B93F2B"/>
    <w:pPr>
      <w:tabs>
        <w:tab w:val="left" w:pos="255"/>
      </w:tabs>
      <w:autoSpaceDE w:val="0"/>
      <w:autoSpaceDN w:val="0"/>
      <w:adjustRightInd w:val="0"/>
      <w:spacing w:after="113" w:line="200" w:lineRule="atLeast"/>
      <w:textAlignment w:val="center"/>
    </w:pPr>
    <w:rPr>
      <w:rFonts w:asciiTheme="majorHAnsi" w:hAnsiTheme="majorHAnsi" w:cstheme="majorHAnsi"/>
      <w:color w:val="595959" w:themeColor="text1" w:themeTint="A6"/>
      <w:sz w:val="14"/>
      <w:szCs w:val="14"/>
      <w:lang w:val="en-US"/>
    </w:rPr>
  </w:style>
  <w:style w:type="character" w:customStyle="1" w:styleId="FooterChar">
    <w:name w:val="Footer Char"/>
    <w:basedOn w:val="DefaultParagraphFont"/>
    <w:link w:val="Footer"/>
    <w:uiPriority w:val="99"/>
    <w:rsid w:val="00B93F2B"/>
    <w:rPr>
      <w:rFonts w:asciiTheme="majorHAnsi" w:hAnsiTheme="majorHAnsi" w:cstheme="majorHAnsi"/>
      <w:color w:val="595959" w:themeColor="text1" w:themeTint="A6"/>
      <w:sz w:val="14"/>
      <w:szCs w:val="14"/>
      <w:lang w:val="en-US"/>
    </w:rPr>
  </w:style>
  <w:style w:type="paragraph" w:customStyle="1" w:styleId="1pixel">
    <w:name w:val="1 pixel"/>
    <w:basedOn w:val="Footer"/>
    <w:uiPriority w:val="29"/>
    <w:rsid w:val="00164128"/>
    <w:pPr>
      <w:spacing w:after="0" w:line="240" w:lineRule="auto"/>
    </w:pPr>
    <w:rPr>
      <w:sz w:val="2"/>
      <w:szCs w:val="2"/>
    </w:rPr>
  </w:style>
  <w:style w:type="character" w:styleId="Hyperlink">
    <w:name w:val="Hyperlink"/>
    <w:basedOn w:val="DefaultParagraphFont"/>
    <w:uiPriority w:val="99"/>
    <w:rsid w:val="00E07C4E"/>
    <w:rPr>
      <w:color w:val="0000FF"/>
      <w:u w:val="single" w:color="000000" w:themeColor="text2"/>
    </w:rPr>
  </w:style>
  <w:style w:type="table" w:styleId="TableGrid">
    <w:name w:val="Table Grid"/>
    <w:basedOn w:val="TableNormal"/>
    <w:uiPriority w:val="59"/>
    <w:rsid w:val="008B17D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customStyle="1" w:styleId="ReportTitle">
    <w:name w:val="Report Title"/>
    <w:basedOn w:val="Normal"/>
    <w:uiPriority w:val="7"/>
    <w:qFormat/>
    <w:rsid w:val="000353EE"/>
    <w:pPr>
      <w:spacing w:after="0" w:line="920" w:lineRule="exact"/>
      <w:ind w:right="51"/>
    </w:pPr>
    <w:rPr>
      <w:noProof/>
      <w:color w:val="FFFFFF" w:themeColor="background1"/>
      <w:sz w:val="76"/>
      <w:szCs w:val="96"/>
      <w:lang w:eastAsia="en-AU"/>
    </w:rPr>
  </w:style>
  <w:style w:type="paragraph" w:customStyle="1" w:styleId="ReportSubtitle">
    <w:name w:val="Report Subtitle"/>
    <w:basedOn w:val="ReportTitle"/>
    <w:uiPriority w:val="8"/>
    <w:qFormat/>
    <w:rsid w:val="000353EE"/>
    <w:pPr>
      <w:spacing w:before="280" w:line="240" w:lineRule="auto"/>
    </w:pPr>
    <w:rPr>
      <w:sz w:val="48"/>
      <w:szCs w:val="48"/>
    </w:rPr>
  </w:style>
  <w:style w:type="paragraph" w:customStyle="1" w:styleId="Pull-outHeading">
    <w:name w:val="Pull-out Heading"/>
    <w:basedOn w:val="Normal"/>
    <w:uiPriority w:val="13"/>
    <w:qFormat/>
    <w:rsid w:val="00CC794E"/>
    <w:pPr>
      <w:pBdr>
        <w:top w:val="single" w:sz="12" w:space="10" w:color="313133"/>
        <w:left w:val="single" w:sz="12" w:space="10" w:color="313133"/>
        <w:bottom w:val="single" w:sz="12" w:space="10" w:color="313133"/>
        <w:right w:val="single" w:sz="12" w:space="10" w:color="313133"/>
      </w:pBdr>
      <w:spacing w:after="60"/>
      <w:ind w:left="227" w:right="227"/>
    </w:pPr>
    <w:rPr>
      <w:b/>
      <w:color w:val="000000" w:themeColor="text2"/>
      <w:sz w:val="28"/>
    </w:rPr>
  </w:style>
  <w:style w:type="paragraph" w:customStyle="1" w:styleId="Pull-outSubheading">
    <w:name w:val="Pull-out Subheading"/>
    <w:basedOn w:val="Pull-outHeading"/>
    <w:uiPriority w:val="14"/>
    <w:qFormat/>
    <w:rsid w:val="00CC794E"/>
    <w:pPr>
      <w:spacing w:after="120"/>
    </w:pPr>
    <w:rPr>
      <w:i/>
      <w:color w:val="auto"/>
      <w:sz w:val="24"/>
    </w:rPr>
  </w:style>
  <w:style w:type="paragraph" w:customStyle="1" w:styleId="Pull-outText">
    <w:name w:val="Pull-out Text"/>
    <w:basedOn w:val="Pull-outSubheading"/>
    <w:uiPriority w:val="16"/>
    <w:qFormat/>
    <w:rsid w:val="00E3053E"/>
    <w:rPr>
      <w:b w:val="0"/>
      <w:i w:val="0"/>
      <w:sz w:val="22"/>
    </w:rPr>
  </w:style>
  <w:style w:type="paragraph" w:customStyle="1" w:styleId="PageNumber1">
    <w:name w:val="Page Number1"/>
    <w:basedOn w:val="Footer"/>
    <w:uiPriority w:val="17"/>
    <w:qFormat/>
    <w:rsid w:val="008F0C7A"/>
    <w:pPr>
      <w:jc w:val="right"/>
    </w:pPr>
    <w:rPr>
      <w:noProof/>
      <w:color w:val="000000" w:themeColor="text2"/>
      <w:sz w:val="18"/>
      <w:szCs w:val="18"/>
      <w:lang w:val="en-AU" w:eastAsia="en-AU"/>
    </w:rPr>
  </w:style>
  <w:style w:type="paragraph" w:styleId="TOCHeading">
    <w:name w:val="TOC Heading"/>
    <w:basedOn w:val="Heading1"/>
    <w:next w:val="Normal"/>
    <w:uiPriority w:val="39"/>
    <w:unhideWhenUsed/>
    <w:qFormat/>
    <w:rsid w:val="005132DB"/>
    <w:pPr>
      <w:keepNext/>
      <w:keepLines/>
      <w:outlineLvl w:val="9"/>
    </w:pPr>
    <w:rPr>
      <w:rFonts w:eastAsiaTheme="majorEastAsia" w:cs="Arial"/>
      <w:b/>
      <w:bCs/>
      <w:szCs w:val="28"/>
      <w:lang w:val="en-US" w:eastAsia="ja-JP"/>
    </w:rPr>
  </w:style>
  <w:style w:type="paragraph" w:styleId="TOC1">
    <w:name w:val="toc 1"/>
    <w:basedOn w:val="Normal"/>
    <w:next w:val="Normal"/>
    <w:autoRedefine/>
    <w:uiPriority w:val="39"/>
    <w:unhideWhenUsed/>
    <w:qFormat/>
    <w:rsid w:val="001D0C47"/>
    <w:pPr>
      <w:tabs>
        <w:tab w:val="right" w:leader="dot" w:pos="9639"/>
      </w:tabs>
      <w:spacing w:before="120" w:after="120" w:line="480" w:lineRule="auto"/>
    </w:pPr>
  </w:style>
  <w:style w:type="paragraph" w:styleId="TOC2">
    <w:name w:val="toc 2"/>
    <w:basedOn w:val="Normal"/>
    <w:next w:val="Normal"/>
    <w:autoRedefine/>
    <w:uiPriority w:val="39"/>
    <w:unhideWhenUsed/>
    <w:qFormat/>
    <w:rsid w:val="00F67A25"/>
    <w:pPr>
      <w:spacing w:after="100"/>
      <w:ind w:left="200"/>
    </w:pPr>
  </w:style>
  <w:style w:type="paragraph" w:styleId="TOC3">
    <w:name w:val="toc 3"/>
    <w:basedOn w:val="Normal"/>
    <w:next w:val="Normal"/>
    <w:autoRedefine/>
    <w:uiPriority w:val="39"/>
    <w:unhideWhenUsed/>
    <w:qFormat/>
    <w:rsid w:val="00F67A25"/>
    <w:pPr>
      <w:spacing w:after="100"/>
      <w:ind w:left="400"/>
    </w:pPr>
  </w:style>
  <w:style w:type="character" w:customStyle="1" w:styleId="Heading4Char">
    <w:name w:val="Heading 4 Char"/>
    <w:basedOn w:val="DefaultParagraphFont"/>
    <w:link w:val="Heading4"/>
    <w:uiPriority w:val="4"/>
    <w:rsid w:val="00A91C0E"/>
    <w:rPr>
      <w:rFonts w:ascii="Helvetica Neue" w:eastAsiaTheme="majorEastAsia" w:hAnsi="Helvetica Neue" w:cstheme="majorBidi"/>
      <w:b/>
      <w:bCs/>
      <w:iCs/>
      <w:szCs w:val="24"/>
      <w:u w:val="single"/>
    </w:rPr>
  </w:style>
  <w:style w:type="character" w:styleId="SubtleEmphasis">
    <w:name w:val="Subtle Emphasis"/>
    <w:basedOn w:val="DefaultParagraphFont"/>
    <w:uiPriority w:val="19"/>
    <w:rsid w:val="008F0C7A"/>
    <w:rPr>
      <w:i/>
      <w:iCs/>
      <w:color w:val="808080" w:themeColor="text1" w:themeTint="7F"/>
    </w:rPr>
  </w:style>
  <w:style w:type="character" w:customStyle="1" w:styleId="Heading5Char">
    <w:name w:val="Heading 5 Char"/>
    <w:basedOn w:val="DefaultParagraphFont"/>
    <w:link w:val="Heading5"/>
    <w:uiPriority w:val="5"/>
    <w:rsid w:val="002E40EE"/>
    <w:rPr>
      <w:rFonts w:asciiTheme="majorHAnsi" w:eastAsiaTheme="majorEastAsia" w:hAnsiTheme="majorHAnsi" w:cstheme="majorBidi"/>
      <w:b/>
      <w:i/>
      <w:color w:val="000000" w:themeColor="accent1" w:themeShade="7F"/>
      <w:szCs w:val="20"/>
    </w:rPr>
  </w:style>
  <w:style w:type="paragraph" w:styleId="ListParagraph">
    <w:name w:val="List Paragraph"/>
    <w:basedOn w:val="Normal"/>
    <w:uiPriority w:val="34"/>
    <w:qFormat/>
    <w:rsid w:val="00846B28"/>
    <w:pPr>
      <w:spacing w:after="120" w:line="240" w:lineRule="auto"/>
      <w:ind w:left="720"/>
      <w:contextualSpacing/>
    </w:pPr>
  </w:style>
  <w:style w:type="paragraph" w:styleId="FootnoteText">
    <w:name w:val="footnote text"/>
    <w:basedOn w:val="Normal"/>
    <w:link w:val="FootnoteTextChar"/>
    <w:uiPriority w:val="99"/>
    <w:semiHidden/>
    <w:unhideWhenUsed/>
    <w:rsid w:val="00846B28"/>
    <w:pPr>
      <w:spacing w:after="0" w:line="240" w:lineRule="auto"/>
    </w:pPr>
    <w:rPr>
      <w:sz w:val="20"/>
    </w:rPr>
  </w:style>
  <w:style w:type="character" w:customStyle="1" w:styleId="FootnoteTextChar">
    <w:name w:val="Footnote Text Char"/>
    <w:basedOn w:val="DefaultParagraphFont"/>
    <w:link w:val="FootnoteText"/>
    <w:uiPriority w:val="99"/>
    <w:semiHidden/>
    <w:rsid w:val="00846B28"/>
    <w:rPr>
      <w:sz w:val="20"/>
      <w:szCs w:val="20"/>
    </w:rPr>
  </w:style>
  <w:style w:type="character" w:styleId="FootnoteReference">
    <w:name w:val="footnote reference"/>
    <w:basedOn w:val="DefaultParagraphFont"/>
    <w:uiPriority w:val="99"/>
    <w:semiHidden/>
    <w:unhideWhenUsed/>
    <w:rsid w:val="00846B28"/>
    <w:rPr>
      <w:vertAlign w:val="superscript"/>
    </w:rPr>
  </w:style>
  <w:style w:type="paragraph" w:styleId="Caption">
    <w:name w:val="caption"/>
    <w:basedOn w:val="Normal"/>
    <w:next w:val="Normal"/>
    <w:uiPriority w:val="35"/>
    <w:unhideWhenUsed/>
    <w:qFormat/>
    <w:rsid w:val="00012921"/>
    <w:pPr>
      <w:spacing w:line="240" w:lineRule="auto"/>
    </w:pPr>
    <w:rPr>
      <w:b/>
      <w:bCs/>
      <w:color w:val="000000" w:themeColor="accent1"/>
      <w:sz w:val="18"/>
      <w:szCs w:val="18"/>
    </w:rPr>
  </w:style>
  <w:style w:type="character" w:customStyle="1" w:styleId="Heading6Char">
    <w:name w:val="Heading 6 Char"/>
    <w:basedOn w:val="DefaultParagraphFont"/>
    <w:link w:val="Heading6"/>
    <w:uiPriority w:val="6"/>
    <w:rsid w:val="00CC794E"/>
    <w:rPr>
      <w:rFonts w:asciiTheme="majorHAnsi" w:eastAsiaTheme="majorEastAsia" w:hAnsiTheme="majorHAnsi" w:cstheme="majorBidi"/>
      <w:iCs/>
      <w:color w:val="000000" w:themeColor="accent1" w:themeShade="7F"/>
      <w:sz w:val="24"/>
      <w:szCs w:val="20"/>
    </w:rPr>
  </w:style>
  <w:style w:type="character" w:styleId="BookTitle">
    <w:name w:val="Book Title"/>
    <w:basedOn w:val="DefaultParagraphFont"/>
    <w:uiPriority w:val="33"/>
    <w:rsid w:val="00E67D13"/>
    <w:rPr>
      <w:b/>
      <w:bCs/>
      <w:smallCaps/>
      <w:spacing w:val="5"/>
    </w:rPr>
  </w:style>
  <w:style w:type="paragraph" w:customStyle="1" w:styleId="paragraph">
    <w:name w:val="paragraph"/>
    <w:basedOn w:val="Normal"/>
    <w:uiPriority w:val="39"/>
    <w:rsid w:val="006E29C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g-directive">
    <w:name w:val="ng-directive"/>
    <w:basedOn w:val="DefaultParagraphFont"/>
    <w:uiPriority w:val="39"/>
    <w:rsid w:val="006E29C5"/>
  </w:style>
  <w:style w:type="character" w:styleId="FollowedHyperlink">
    <w:name w:val="FollowedHyperlink"/>
    <w:basedOn w:val="DefaultParagraphFont"/>
    <w:uiPriority w:val="99"/>
    <w:semiHidden/>
    <w:unhideWhenUsed/>
    <w:rsid w:val="00E07C4E"/>
    <w:rPr>
      <w:color w:val="800080" w:themeColor="followedHyperlink"/>
      <w:u w:val="single"/>
    </w:rPr>
  </w:style>
  <w:style w:type="paragraph" w:customStyle="1" w:styleId="para">
    <w:name w:val="para"/>
    <w:uiPriority w:val="99"/>
    <w:rsid w:val="00D2400B"/>
    <w:pPr>
      <w:keepLines/>
      <w:tabs>
        <w:tab w:val="left" w:pos="0"/>
      </w:tabs>
      <w:autoSpaceDE w:val="0"/>
      <w:autoSpaceDN w:val="0"/>
      <w:spacing w:before="80" w:after="60" w:line="240" w:lineRule="exact"/>
      <w:jc w:val="both"/>
    </w:pPr>
    <w:rPr>
      <w:rFonts w:ascii="Arial" w:eastAsiaTheme="minorEastAsia" w:hAnsi="Arial" w:cs="Arial"/>
    </w:rPr>
  </w:style>
  <w:style w:type="paragraph" w:customStyle="1" w:styleId="headL5">
    <w:name w:val="head:L5"/>
    <w:uiPriority w:val="99"/>
    <w:rsid w:val="00D2400B"/>
    <w:pPr>
      <w:keepNext/>
      <w:keepLines/>
      <w:widowControl w:val="0"/>
      <w:autoSpaceDE w:val="0"/>
      <w:autoSpaceDN w:val="0"/>
      <w:spacing w:before="120" w:after="60" w:line="240" w:lineRule="auto"/>
      <w:outlineLvl w:val="6"/>
    </w:pPr>
    <w:rPr>
      <w:rFonts w:ascii="Arial" w:eastAsiaTheme="minorEastAsia" w:hAnsi="Arial" w:cs="Arial"/>
      <w:b/>
      <w:bCs/>
    </w:rPr>
  </w:style>
  <w:style w:type="character" w:customStyle="1" w:styleId="Chartextitalics11pt">
    <w:name w:val="Char:text italics 11 pt"/>
    <w:basedOn w:val="DefaultParagraphFont"/>
    <w:uiPriority w:val="99"/>
    <w:rsid w:val="00D2400B"/>
    <w:rPr>
      <w:rFonts w:ascii="Arial" w:hAnsi="Arial" w:cs="Arial"/>
      <w:i/>
      <w:iCs/>
      <w:sz w:val="22"/>
      <w:szCs w:val="22"/>
      <w:lang w:val="en-US"/>
    </w:rPr>
  </w:style>
  <w:style w:type="paragraph" w:customStyle="1" w:styleId="acctsacctname">
    <w:name w:val="accts:acctname"/>
    <w:uiPriority w:val="99"/>
    <w:rsid w:val="00D2400B"/>
    <w:pPr>
      <w:autoSpaceDE w:val="0"/>
      <w:autoSpaceDN w:val="0"/>
      <w:spacing w:after="0" w:line="240" w:lineRule="auto"/>
      <w:jc w:val="center"/>
    </w:pPr>
    <w:rPr>
      <w:rFonts w:ascii="Arial" w:eastAsiaTheme="minorEastAsia" w:hAnsi="Arial" w:cs="Arial"/>
      <w:b/>
      <w:bCs/>
      <w:caps/>
      <w:color w:val="808080"/>
      <w:sz w:val="20"/>
      <w:szCs w:val="20"/>
      <w:lang w:val="en-US"/>
    </w:rPr>
  </w:style>
  <w:style w:type="paragraph" w:customStyle="1" w:styleId="Tabletext11pt">
    <w:name w:val="Table:text 11 pt"/>
    <w:uiPriority w:val="99"/>
    <w:rsid w:val="00D2400B"/>
    <w:pPr>
      <w:keepLines/>
      <w:autoSpaceDE w:val="0"/>
      <w:autoSpaceDN w:val="0"/>
      <w:spacing w:before="40" w:after="40" w:line="240" w:lineRule="auto"/>
      <w:jc w:val="both"/>
    </w:pPr>
    <w:rPr>
      <w:rFonts w:ascii="Arial" w:eastAsiaTheme="minorEastAsia" w:hAnsi="Arial" w:cs="Arial"/>
      <w:lang w:val="en-US"/>
    </w:rPr>
  </w:style>
  <w:style w:type="paragraph" w:styleId="Title">
    <w:name w:val="Title"/>
    <w:basedOn w:val="Normal"/>
    <w:next w:val="Normal"/>
    <w:link w:val="TitleChar"/>
    <w:uiPriority w:val="10"/>
    <w:qFormat/>
    <w:rsid w:val="00D2400B"/>
    <w:pPr>
      <w:pBdr>
        <w:bottom w:val="single" w:sz="8" w:space="4" w:color="000000" w:themeColor="accent1"/>
      </w:pBdr>
      <w:spacing w:after="300" w:line="240" w:lineRule="auto"/>
      <w:contextualSpacing/>
    </w:pPr>
    <w:rPr>
      <w:rFonts w:asciiTheme="majorHAnsi" w:eastAsiaTheme="majorEastAsia" w:hAnsiTheme="majorHAnsi" w:cstheme="majorBidi"/>
      <w:spacing w:val="5"/>
      <w:kern w:val="28"/>
      <w:sz w:val="52"/>
      <w:szCs w:val="52"/>
      <w:lang w:val="en-US"/>
    </w:rPr>
  </w:style>
  <w:style w:type="character" w:customStyle="1" w:styleId="TitleChar">
    <w:name w:val="Title Char"/>
    <w:basedOn w:val="DefaultParagraphFont"/>
    <w:link w:val="Title"/>
    <w:uiPriority w:val="10"/>
    <w:rsid w:val="00D2400B"/>
    <w:rPr>
      <w:rFonts w:asciiTheme="majorHAnsi" w:eastAsiaTheme="majorEastAsia" w:hAnsiTheme="majorHAnsi" w:cstheme="majorBidi"/>
      <w:spacing w:val="5"/>
      <w:kern w:val="28"/>
      <w:sz w:val="52"/>
      <w:szCs w:val="52"/>
      <w:lang w:val="en-US"/>
    </w:rPr>
  </w:style>
  <w:style w:type="table" w:customStyle="1" w:styleId="TableGrid1">
    <w:name w:val="Table Grid1"/>
    <w:basedOn w:val="TableNormal"/>
    <w:next w:val="TableGrid"/>
    <w:uiPriority w:val="59"/>
    <w:rsid w:val="00D2400B"/>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24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132DB"/>
    <w:rPr>
      <w:rFonts w:ascii="Arial" w:hAnsi="Arial" w:cs="Arial"/>
      <w:color w:val="1460AA"/>
      <w:sz w:val="28"/>
    </w:rPr>
  </w:style>
  <w:style w:type="character" w:styleId="Emphasis">
    <w:name w:val="Emphasis"/>
    <w:basedOn w:val="DefaultParagraphFont"/>
    <w:autoRedefine/>
    <w:uiPriority w:val="20"/>
    <w:rsid w:val="00C6396C"/>
    <w:rPr>
      <w:iCs/>
    </w:rPr>
  </w:style>
  <w:style w:type="paragraph" w:styleId="Quote">
    <w:name w:val="Quote"/>
    <w:basedOn w:val="Normal"/>
    <w:next w:val="Normal"/>
    <w:link w:val="QuoteChar"/>
    <w:uiPriority w:val="29"/>
    <w:qFormat/>
    <w:rsid w:val="005132DB"/>
    <w:rPr>
      <w:rFonts w:ascii="Arial" w:hAnsi="Arial" w:cs="Arial"/>
      <w:i/>
      <w:iCs/>
      <w:color w:val="1460AA"/>
      <w:sz w:val="32"/>
    </w:rPr>
  </w:style>
  <w:style w:type="character" w:customStyle="1" w:styleId="QuoteChar">
    <w:name w:val="Quote Char"/>
    <w:basedOn w:val="DefaultParagraphFont"/>
    <w:link w:val="Quote"/>
    <w:uiPriority w:val="29"/>
    <w:rsid w:val="005132DB"/>
    <w:rPr>
      <w:rFonts w:ascii="Arial" w:hAnsi="Arial" w:cs="Arial"/>
      <w:i/>
      <w:iCs/>
      <w:color w:val="1460AA"/>
      <w:sz w:val="32"/>
    </w:rPr>
  </w:style>
  <w:style w:type="character" w:styleId="CommentReference">
    <w:name w:val="annotation reference"/>
    <w:basedOn w:val="DefaultParagraphFont"/>
    <w:uiPriority w:val="99"/>
    <w:semiHidden/>
    <w:unhideWhenUsed/>
    <w:rsid w:val="00255A6C"/>
    <w:rPr>
      <w:sz w:val="16"/>
      <w:szCs w:val="16"/>
    </w:rPr>
  </w:style>
  <w:style w:type="paragraph" w:styleId="CommentText">
    <w:name w:val="annotation text"/>
    <w:basedOn w:val="Normal"/>
    <w:link w:val="CommentTextChar"/>
    <w:uiPriority w:val="99"/>
    <w:semiHidden/>
    <w:unhideWhenUsed/>
    <w:rsid w:val="00255A6C"/>
    <w:pPr>
      <w:spacing w:line="240" w:lineRule="auto"/>
    </w:pPr>
    <w:rPr>
      <w:sz w:val="20"/>
    </w:rPr>
  </w:style>
  <w:style w:type="character" w:customStyle="1" w:styleId="CommentTextChar">
    <w:name w:val="Comment Text Char"/>
    <w:basedOn w:val="DefaultParagraphFont"/>
    <w:link w:val="CommentText"/>
    <w:uiPriority w:val="99"/>
    <w:semiHidden/>
    <w:rsid w:val="00255A6C"/>
    <w:rPr>
      <w:sz w:val="20"/>
      <w:szCs w:val="20"/>
    </w:rPr>
  </w:style>
  <w:style w:type="paragraph" w:styleId="CommentSubject">
    <w:name w:val="annotation subject"/>
    <w:basedOn w:val="CommentText"/>
    <w:next w:val="CommentText"/>
    <w:link w:val="CommentSubjectChar"/>
    <w:uiPriority w:val="99"/>
    <w:semiHidden/>
    <w:unhideWhenUsed/>
    <w:rsid w:val="00255A6C"/>
    <w:rPr>
      <w:b/>
      <w:bCs/>
    </w:rPr>
  </w:style>
  <w:style w:type="character" w:customStyle="1" w:styleId="CommentSubjectChar">
    <w:name w:val="Comment Subject Char"/>
    <w:basedOn w:val="CommentTextChar"/>
    <w:link w:val="CommentSubject"/>
    <w:uiPriority w:val="99"/>
    <w:semiHidden/>
    <w:rsid w:val="00255A6C"/>
    <w:rPr>
      <w:b/>
      <w:bCs/>
      <w:sz w:val="20"/>
      <w:szCs w:val="20"/>
    </w:rPr>
  </w:style>
  <w:style w:type="paragraph" w:customStyle="1" w:styleId="Default">
    <w:name w:val="Default"/>
    <w:rsid w:val="00930EAE"/>
    <w:pPr>
      <w:autoSpaceDE w:val="0"/>
      <w:autoSpaceDN w:val="0"/>
      <w:adjustRightInd w:val="0"/>
      <w:spacing w:after="0" w:line="240" w:lineRule="auto"/>
    </w:pPr>
    <w:rPr>
      <w:rFonts w:ascii="Arial" w:hAnsi="Arial" w:cs="Arial"/>
      <w:color w:val="000000"/>
      <w:sz w:val="24"/>
      <w:szCs w:val="24"/>
    </w:rPr>
  </w:style>
  <w:style w:type="paragraph" w:styleId="DocumentMap">
    <w:name w:val="Document Map"/>
    <w:basedOn w:val="Normal"/>
    <w:link w:val="DocumentMapChar"/>
    <w:uiPriority w:val="99"/>
    <w:semiHidden/>
    <w:unhideWhenUsed/>
    <w:rsid w:val="00CE2A7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E2A73"/>
    <w:rPr>
      <w:rFonts w:ascii="Lucida Grande" w:hAnsi="Lucida Grande" w:cs="Lucida Grande"/>
      <w:sz w:val="24"/>
      <w:szCs w:val="24"/>
    </w:rPr>
  </w:style>
  <w:style w:type="character" w:styleId="IntenseEmphasis">
    <w:name w:val="Intense Emphasis"/>
    <w:basedOn w:val="DefaultParagraphFont"/>
    <w:uiPriority w:val="21"/>
    <w:qFormat/>
    <w:rsid w:val="008266C1"/>
    <w:rPr>
      <w:b/>
      <w:bCs/>
      <w:iCs/>
      <w:color w:val="000000" w:themeColor="accent1"/>
      <w:u w:val="single"/>
    </w:rPr>
  </w:style>
  <w:style w:type="paragraph" w:customStyle="1" w:styleId="BasicParagraph">
    <w:name w:val="[Basic Paragraph]"/>
    <w:basedOn w:val="Normal"/>
    <w:uiPriority w:val="99"/>
    <w:rsid w:val="005A23E5"/>
    <w:pPr>
      <w:widowControl w:val="0"/>
      <w:autoSpaceDE w:val="0"/>
      <w:autoSpaceDN w:val="0"/>
      <w:adjustRightInd w:val="0"/>
      <w:spacing w:after="0" w:line="288" w:lineRule="auto"/>
      <w:ind w:right="0"/>
      <w:textAlignment w:val="center"/>
    </w:pPr>
    <w:rPr>
      <w:rFonts w:ascii="MinionPro-Regular" w:hAnsi="MinionPro-Regular" w:cs="MinionPro-Regula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26164">
      <w:bodyDiv w:val="1"/>
      <w:marLeft w:val="0"/>
      <w:marRight w:val="0"/>
      <w:marTop w:val="0"/>
      <w:marBottom w:val="0"/>
      <w:divBdr>
        <w:top w:val="none" w:sz="0" w:space="0" w:color="auto"/>
        <w:left w:val="none" w:sz="0" w:space="0" w:color="auto"/>
        <w:bottom w:val="none" w:sz="0" w:space="0" w:color="auto"/>
        <w:right w:val="none" w:sz="0" w:space="0" w:color="auto"/>
      </w:divBdr>
    </w:div>
    <w:div w:id="719481123">
      <w:bodyDiv w:val="1"/>
      <w:marLeft w:val="0"/>
      <w:marRight w:val="0"/>
      <w:marTop w:val="0"/>
      <w:marBottom w:val="0"/>
      <w:divBdr>
        <w:top w:val="none" w:sz="0" w:space="0" w:color="auto"/>
        <w:left w:val="none" w:sz="0" w:space="0" w:color="auto"/>
        <w:bottom w:val="none" w:sz="0" w:space="0" w:color="auto"/>
        <w:right w:val="none" w:sz="0" w:space="0" w:color="auto"/>
      </w:divBdr>
    </w:div>
    <w:div w:id="773860245">
      <w:bodyDiv w:val="1"/>
      <w:marLeft w:val="0"/>
      <w:marRight w:val="0"/>
      <w:marTop w:val="0"/>
      <w:marBottom w:val="0"/>
      <w:divBdr>
        <w:top w:val="none" w:sz="0" w:space="0" w:color="auto"/>
        <w:left w:val="none" w:sz="0" w:space="0" w:color="auto"/>
        <w:bottom w:val="none" w:sz="0" w:space="0" w:color="auto"/>
        <w:right w:val="none" w:sz="0" w:space="0" w:color="auto"/>
      </w:divBdr>
    </w:div>
    <w:div w:id="964625107">
      <w:bodyDiv w:val="1"/>
      <w:marLeft w:val="0"/>
      <w:marRight w:val="0"/>
      <w:marTop w:val="0"/>
      <w:marBottom w:val="0"/>
      <w:divBdr>
        <w:top w:val="none" w:sz="0" w:space="0" w:color="auto"/>
        <w:left w:val="none" w:sz="0" w:space="0" w:color="auto"/>
        <w:bottom w:val="none" w:sz="0" w:space="0" w:color="auto"/>
        <w:right w:val="none" w:sz="0" w:space="0" w:color="auto"/>
      </w:divBdr>
    </w:div>
    <w:div w:id="1489706738">
      <w:bodyDiv w:val="1"/>
      <w:marLeft w:val="0"/>
      <w:marRight w:val="0"/>
      <w:marTop w:val="0"/>
      <w:marBottom w:val="0"/>
      <w:divBdr>
        <w:top w:val="none" w:sz="0" w:space="0" w:color="auto"/>
        <w:left w:val="none" w:sz="0" w:space="0" w:color="auto"/>
        <w:bottom w:val="none" w:sz="0" w:space="0" w:color="auto"/>
        <w:right w:val="none" w:sz="0" w:space="0" w:color="auto"/>
      </w:divBdr>
    </w:div>
    <w:div w:id="196877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www.accessiq.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footnotes" Target="footnotes.xml"/><Relationship Id="rId12" Type="http://schemas.openxmlformats.org/officeDocument/2006/relationships/hyperlink" Target="http://www.accessiq.org.au" TargetMode="External"/><Relationship Id="rId17" Type="http://schemas.openxmlformats.org/officeDocument/2006/relationships/image" Target="media/image3.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www.mediaaccess.org.au"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ffordableaccess.com.a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affordableaccess.org.au" TargetMode="External"/><Relationship Id="rId23" Type="http://schemas.openxmlformats.org/officeDocument/2006/relationships/image" Target="media/image8.emf"/><Relationship Id="rId28" Type="http://schemas.openxmlformats.org/officeDocument/2006/relationships/theme" Target="theme/theme1.xml"/><Relationship Id="rId10" Type="http://schemas.openxmlformats.org/officeDocument/2006/relationships/hyperlink" Target="http://www.mediaaccess.org.au/digitalaccessibilityservices/cognitiveguide/"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AYNE.WOODFORD.MEDIAACCESS\AppData\Roaming\Microsoft\Templates\Full%20MAA_July2013.dotx" TargetMode="External"/></Relationships>
</file>

<file path=word/theme/theme1.xml><?xml version="1.0" encoding="utf-8"?>
<a:theme xmlns:a="http://schemas.openxmlformats.org/drawingml/2006/main" name="Office Theme">
  <a:themeElements>
    <a:clrScheme name="Media Access Australia Black">
      <a:dk1>
        <a:sysClr val="windowText" lastClr="000000"/>
      </a:dk1>
      <a:lt1>
        <a:sysClr val="window" lastClr="FFFFFF"/>
      </a:lt1>
      <a:dk2>
        <a:srgbClr val="000000"/>
      </a:dk2>
      <a:lt2>
        <a:srgbClr val="D1D3D4"/>
      </a:lt2>
      <a:accent1>
        <a:srgbClr val="000000"/>
      </a:accent1>
      <a:accent2>
        <a:srgbClr val="999999"/>
      </a:accent2>
      <a:accent3>
        <a:srgbClr val="4CAA48"/>
      </a:accent3>
      <a:accent4>
        <a:srgbClr val="D1D3D4"/>
      </a:accent4>
      <a:accent5>
        <a:srgbClr val="00AEEF"/>
      </a:accent5>
      <a:accent6>
        <a:srgbClr val="D80073"/>
      </a:accent6>
      <a:hlink>
        <a:srgbClr val="F2AF32"/>
      </a:hlink>
      <a:folHlink>
        <a:srgbClr val="800080"/>
      </a:folHlink>
    </a:clrScheme>
    <a:fontScheme name="Media Access Austral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10887-2906-4D75-B247-5F56D9357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MAA_July2013.dotx</Template>
  <TotalTime>0</TotalTime>
  <Pages>41</Pages>
  <Words>7584</Words>
  <Characters>43235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2016 MAA Annual Report</vt:lpstr>
    </vt:vector>
  </TitlesOfParts>
  <Company>Hewlett-Packard Company</Company>
  <LinksUpToDate>false</LinksUpToDate>
  <CharactersWithSpaces>50718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MAA Annual Report</dc:title>
  <dc:creator>Media Access Australia</dc:creator>
  <cp:lastModifiedBy>Allayne Woodford</cp:lastModifiedBy>
  <cp:revision>2</cp:revision>
  <cp:lastPrinted>2016-10-18T21:53:00Z</cp:lastPrinted>
  <dcterms:created xsi:type="dcterms:W3CDTF">2016-11-20T22:39:00Z</dcterms:created>
  <dcterms:modified xsi:type="dcterms:W3CDTF">2016-11-20T22:39:00Z</dcterms:modified>
</cp:coreProperties>
</file>