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2CC7" w:rsidRDefault="00D32CC7" w:rsidP="00A7286E"/>
    <w:p w:rsidR="009B6735" w:rsidRPr="004030E3" w:rsidRDefault="009B6735" w:rsidP="00DB3A97">
      <w:pPr>
        <w:pStyle w:val="Title"/>
        <w:spacing w:before="4200"/>
        <w:jc w:val="center"/>
        <w:rPr>
          <w:sz w:val="24"/>
          <w:szCs w:val="24"/>
          <w:lang w:val="es-ES_tradnl"/>
        </w:rPr>
      </w:pPr>
      <w:r w:rsidRPr="004030E3">
        <w:rPr>
          <w:lang w:val="es-ES_tradnl"/>
        </w:rPr>
        <w:t>MEDIA ACCESS AUSTRALIA</w:t>
      </w:r>
    </w:p>
    <w:p w:rsidR="009B6735" w:rsidRPr="004030E3" w:rsidRDefault="009B6735" w:rsidP="0083231D">
      <w:pPr>
        <w:widowControl w:val="0"/>
        <w:tabs>
          <w:tab w:val="center" w:pos="5592"/>
        </w:tabs>
        <w:autoSpaceDE w:val="0"/>
        <w:autoSpaceDN w:val="0"/>
        <w:adjustRightInd w:val="0"/>
        <w:spacing w:after="0" w:line="240" w:lineRule="auto"/>
        <w:jc w:val="center"/>
        <w:rPr>
          <w:rFonts w:cstheme="minorHAnsi"/>
          <w:sz w:val="24"/>
          <w:szCs w:val="24"/>
          <w:lang w:val="es-ES_tradnl"/>
        </w:rPr>
      </w:pPr>
      <w:r w:rsidRPr="004030E3">
        <w:rPr>
          <w:rFonts w:cstheme="minorHAnsi"/>
          <w:b/>
          <w:bCs/>
          <w:color w:val="000000"/>
          <w:sz w:val="24"/>
          <w:szCs w:val="24"/>
          <w:lang w:val="es-ES_tradnl"/>
        </w:rPr>
        <w:t>ABN 75 002 259 154</w:t>
      </w:r>
    </w:p>
    <w:p w:rsidR="009B6735" w:rsidRPr="004030E3" w:rsidRDefault="009B6735" w:rsidP="0083231D">
      <w:pPr>
        <w:widowControl w:val="0"/>
        <w:tabs>
          <w:tab w:val="center" w:pos="5592"/>
        </w:tabs>
        <w:autoSpaceDE w:val="0"/>
        <w:autoSpaceDN w:val="0"/>
        <w:adjustRightInd w:val="0"/>
        <w:spacing w:before="240" w:after="0" w:line="240" w:lineRule="auto"/>
        <w:jc w:val="center"/>
        <w:rPr>
          <w:rFonts w:cstheme="minorHAnsi"/>
          <w:sz w:val="32"/>
          <w:szCs w:val="32"/>
          <w:lang w:val="es-ES_tradnl"/>
        </w:rPr>
      </w:pPr>
      <w:proofErr w:type="spellStart"/>
      <w:r w:rsidRPr="004030E3">
        <w:rPr>
          <w:rFonts w:cstheme="minorHAnsi"/>
          <w:b/>
          <w:sz w:val="32"/>
          <w:szCs w:val="32"/>
          <w:lang w:val="es-ES_tradnl"/>
        </w:rPr>
        <w:t>F</w:t>
      </w:r>
      <w:r w:rsidRPr="004030E3">
        <w:rPr>
          <w:rFonts w:cstheme="minorHAnsi"/>
          <w:b/>
          <w:bCs/>
          <w:color w:val="000000"/>
          <w:sz w:val="32"/>
          <w:szCs w:val="32"/>
          <w:lang w:val="es-ES_tradnl"/>
        </w:rPr>
        <w:t>inancial</w:t>
      </w:r>
      <w:proofErr w:type="spellEnd"/>
      <w:r w:rsidRPr="004030E3">
        <w:rPr>
          <w:rFonts w:cstheme="minorHAnsi"/>
          <w:b/>
          <w:bCs/>
          <w:color w:val="000000"/>
          <w:sz w:val="32"/>
          <w:szCs w:val="32"/>
          <w:lang w:val="es-ES_tradnl"/>
        </w:rPr>
        <w:t xml:space="preserve"> </w:t>
      </w:r>
      <w:proofErr w:type="spellStart"/>
      <w:r w:rsidRPr="004030E3">
        <w:rPr>
          <w:rFonts w:cstheme="minorHAnsi"/>
          <w:b/>
          <w:bCs/>
          <w:color w:val="000000"/>
          <w:sz w:val="32"/>
          <w:szCs w:val="32"/>
          <w:lang w:val="es-ES_tradnl"/>
        </w:rPr>
        <w:t>Report</w:t>
      </w:r>
      <w:proofErr w:type="spellEnd"/>
    </w:p>
    <w:p w:rsidR="00795A9E" w:rsidRDefault="009B6735" w:rsidP="00A21E51">
      <w:pPr>
        <w:widowControl w:val="0"/>
        <w:tabs>
          <w:tab w:val="center" w:pos="5577"/>
        </w:tabs>
        <w:autoSpaceDE w:val="0"/>
        <w:autoSpaceDN w:val="0"/>
        <w:adjustRightInd w:val="0"/>
        <w:spacing w:after="120" w:line="240" w:lineRule="auto"/>
        <w:jc w:val="center"/>
        <w:rPr>
          <w:rFonts w:cstheme="minorHAnsi"/>
          <w:b/>
          <w:bCs/>
          <w:color w:val="000000"/>
          <w:sz w:val="32"/>
          <w:szCs w:val="32"/>
        </w:rPr>
      </w:pPr>
      <w:r w:rsidRPr="00F07911">
        <w:rPr>
          <w:rFonts w:cstheme="minorHAnsi"/>
          <w:b/>
          <w:bCs/>
          <w:color w:val="000000"/>
          <w:sz w:val="32"/>
          <w:szCs w:val="32"/>
        </w:rPr>
        <w:t xml:space="preserve">For the Year ended 30 June </w:t>
      </w:r>
      <w:r w:rsidR="00985FF4">
        <w:rPr>
          <w:rFonts w:cstheme="minorHAnsi"/>
          <w:b/>
          <w:bCs/>
          <w:color w:val="000000"/>
          <w:sz w:val="32"/>
          <w:szCs w:val="32"/>
        </w:rPr>
        <w:t>2015</w:t>
      </w:r>
    </w:p>
    <w:p w:rsidR="00795A9E" w:rsidRPr="00F07911" w:rsidRDefault="00795A9E" w:rsidP="00795A9E">
      <w:pPr>
        <w:widowControl w:val="0"/>
        <w:tabs>
          <w:tab w:val="center" w:pos="5577"/>
        </w:tabs>
        <w:autoSpaceDE w:val="0"/>
        <w:autoSpaceDN w:val="0"/>
        <w:adjustRightInd w:val="0"/>
        <w:spacing w:after="120" w:line="240" w:lineRule="auto"/>
        <w:jc w:val="center"/>
        <w:rPr>
          <w:rFonts w:cstheme="minorHAnsi"/>
          <w:b/>
          <w:bCs/>
          <w:color w:val="000000"/>
          <w:sz w:val="32"/>
          <w:szCs w:val="32"/>
        </w:rPr>
        <w:sectPr w:rsidR="00795A9E" w:rsidRPr="00F07911" w:rsidSect="00523CA1">
          <w:headerReference w:type="default" r:id="rId9"/>
          <w:headerReference w:type="first" r:id="rId10"/>
          <w:pgSz w:w="11904" w:h="16836"/>
          <w:pgMar w:top="360" w:right="360" w:bottom="420" w:left="360" w:header="57" w:footer="720" w:gutter="0"/>
          <w:cols w:space="720"/>
          <w:noEndnote/>
          <w:titlePg/>
          <w:docGrid w:linePitch="299"/>
        </w:sectPr>
      </w:pPr>
    </w:p>
    <w:sdt>
      <w:sdtPr>
        <w:rPr>
          <w:rFonts w:eastAsiaTheme="minorEastAsia" w:cs="Times New Roman"/>
          <w:b/>
          <w:bCs w:val="0"/>
          <w:color w:val="auto"/>
          <w:sz w:val="22"/>
          <w:szCs w:val="22"/>
          <w:lang w:val="en-AU" w:eastAsia="en-US"/>
        </w:rPr>
        <w:id w:val="-890118991"/>
        <w:docPartObj>
          <w:docPartGallery w:val="Table of Contents"/>
          <w:docPartUnique/>
        </w:docPartObj>
      </w:sdtPr>
      <w:sdtEndPr>
        <w:rPr>
          <w:rFonts w:eastAsiaTheme="minorHAnsi" w:cstheme="minorBidi"/>
          <w:b w:val="0"/>
          <w:noProof/>
          <w:szCs w:val="20"/>
        </w:rPr>
      </w:sdtEndPr>
      <w:sdtContent>
        <w:p w:rsidR="009B6735" w:rsidRPr="00730EA4" w:rsidRDefault="009B6735" w:rsidP="0002368B">
          <w:pPr>
            <w:pStyle w:val="TOCHeading"/>
            <w:spacing w:line="480" w:lineRule="auto"/>
            <w:ind w:left="1418"/>
            <w:rPr>
              <w:color w:val="auto"/>
              <w:highlight w:val="yellow"/>
            </w:rPr>
          </w:pPr>
          <w:r w:rsidRPr="00AD7A02">
            <w:rPr>
              <w:color w:val="auto"/>
            </w:rPr>
            <w:t>Contents</w:t>
          </w:r>
        </w:p>
        <w:p w:rsidR="002B01C5" w:rsidRDefault="009B6735">
          <w:pPr>
            <w:pStyle w:val="TOC1"/>
            <w:rPr>
              <w:rFonts w:eastAsiaTheme="minorEastAsia"/>
              <w:noProof/>
              <w:szCs w:val="22"/>
              <w:lang w:eastAsia="en-AU"/>
            </w:rPr>
          </w:pPr>
          <w:r>
            <w:rPr>
              <w:highlight w:val="yellow"/>
            </w:rPr>
            <w:fldChar w:fldCharType="begin"/>
          </w:r>
          <w:r>
            <w:rPr>
              <w:highlight w:val="yellow"/>
            </w:rPr>
            <w:instrText xml:space="preserve"> TOC \o "1-1" \h \z \u </w:instrText>
          </w:r>
          <w:r>
            <w:rPr>
              <w:highlight w:val="yellow"/>
            </w:rPr>
            <w:fldChar w:fldCharType="separate"/>
          </w:r>
          <w:hyperlink w:anchor="_Toc402184216" w:history="1">
            <w:r w:rsidR="002B01C5" w:rsidRPr="007D11DA">
              <w:rPr>
                <w:rStyle w:val="Hyperlink"/>
                <w:noProof/>
              </w:rPr>
              <w:t>Chairman’s Report</w:t>
            </w:r>
            <w:r w:rsidR="002B01C5">
              <w:rPr>
                <w:noProof/>
                <w:webHidden/>
              </w:rPr>
              <w:tab/>
            </w:r>
            <w:r w:rsidR="002B01C5">
              <w:rPr>
                <w:noProof/>
                <w:webHidden/>
              </w:rPr>
              <w:fldChar w:fldCharType="begin"/>
            </w:r>
            <w:r w:rsidR="002B01C5">
              <w:rPr>
                <w:noProof/>
                <w:webHidden/>
              </w:rPr>
              <w:instrText xml:space="preserve"> PAGEREF _Toc402184216 \h </w:instrText>
            </w:r>
            <w:r w:rsidR="002B01C5">
              <w:rPr>
                <w:noProof/>
                <w:webHidden/>
              </w:rPr>
            </w:r>
            <w:r w:rsidR="002B01C5">
              <w:rPr>
                <w:noProof/>
                <w:webHidden/>
              </w:rPr>
              <w:fldChar w:fldCharType="separate"/>
            </w:r>
            <w:r w:rsidR="0043400A">
              <w:rPr>
                <w:noProof/>
                <w:webHidden/>
              </w:rPr>
              <w:t>3</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17" w:history="1">
            <w:r w:rsidR="002B01C5" w:rsidRPr="007D11DA">
              <w:rPr>
                <w:rStyle w:val="Hyperlink"/>
                <w:noProof/>
              </w:rPr>
              <w:t>CEO’s Report</w:t>
            </w:r>
            <w:r w:rsidR="002B01C5">
              <w:rPr>
                <w:noProof/>
                <w:webHidden/>
              </w:rPr>
              <w:tab/>
            </w:r>
            <w:r w:rsidR="002B01C5">
              <w:rPr>
                <w:noProof/>
                <w:webHidden/>
              </w:rPr>
              <w:fldChar w:fldCharType="begin"/>
            </w:r>
            <w:r w:rsidR="002B01C5">
              <w:rPr>
                <w:noProof/>
                <w:webHidden/>
              </w:rPr>
              <w:instrText xml:space="preserve"> PAGEREF _Toc402184217 \h </w:instrText>
            </w:r>
            <w:r w:rsidR="002B01C5">
              <w:rPr>
                <w:noProof/>
                <w:webHidden/>
              </w:rPr>
            </w:r>
            <w:r w:rsidR="002B01C5">
              <w:rPr>
                <w:noProof/>
                <w:webHidden/>
              </w:rPr>
              <w:fldChar w:fldCharType="separate"/>
            </w:r>
            <w:r>
              <w:rPr>
                <w:noProof/>
                <w:webHidden/>
              </w:rPr>
              <w:t>4</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18" w:history="1">
            <w:r w:rsidR="002B01C5" w:rsidRPr="007D11DA">
              <w:rPr>
                <w:rStyle w:val="Hyperlink"/>
                <w:noProof/>
              </w:rPr>
              <w:t>Directors’ Report</w:t>
            </w:r>
            <w:r w:rsidR="002B01C5">
              <w:rPr>
                <w:noProof/>
                <w:webHidden/>
              </w:rPr>
              <w:tab/>
            </w:r>
            <w:r w:rsidR="002B01C5">
              <w:rPr>
                <w:noProof/>
                <w:webHidden/>
              </w:rPr>
              <w:fldChar w:fldCharType="begin"/>
            </w:r>
            <w:r w:rsidR="002B01C5">
              <w:rPr>
                <w:noProof/>
                <w:webHidden/>
              </w:rPr>
              <w:instrText xml:space="preserve"> PAGEREF _Toc402184218 \h </w:instrText>
            </w:r>
            <w:r w:rsidR="002B01C5">
              <w:rPr>
                <w:noProof/>
                <w:webHidden/>
              </w:rPr>
            </w:r>
            <w:r w:rsidR="002B01C5">
              <w:rPr>
                <w:noProof/>
                <w:webHidden/>
              </w:rPr>
              <w:fldChar w:fldCharType="separate"/>
            </w:r>
            <w:r>
              <w:rPr>
                <w:noProof/>
                <w:webHidden/>
              </w:rPr>
              <w:t>9</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19" w:history="1">
            <w:r w:rsidR="002B01C5" w:rsidRPr="007D11DA">
              <w:rPr>
                <w:rStyle w:val="Hyperlink"/>
                <w:noProof/>
              </w:rPr>
              <w:t>Balance Sheet</w:t>
            </w:r>
            <w:r w:rsidR="002B01C5">
              <w:rPr>
                <w:noProof/>
                <w:webHidden/>
              </w:rPr>
              <w:tab/>
            </w:r>
            <w:r w:rsidR="002B01C5">
              <w:rPr>
                <w:noProof/>
                <w:webHidden/>
              </w:rPr>
              <w:fldChar w:fldCharType="begin"/>
            </w:r>
            <w:r w:rsidR="002B01C5">
              <w:rPr>
                <w:noProof/>
                <w:webHidden/>
              </w:rPr>
              <w:instrText xml:space="preserve"> PAGEREF _Toc402184219 \h </w:instrText>
            </w:r>
            <w:r w:rsidR="002B01C5">
              <w:rPr>
                <w:noProof/>
                <w:webHidden/>
              </w:rPr>
            </w:r>
            <w:r w:rsidR="002B01C5">
              <w:rPr>
                <w:noProof/>
                <w:webHidden/>
              </w:rPr>
              <w:fldChar w:fldCharType="separate"/>
            </w:r>
            <w:r>
              <w:rPr>
                <w:noProof/>
                <w:webHidden/>
              </w:rPr>
              <w:t>12</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20" w:history="1">
            <w:r w:rsidR="002B01C5" w:rsidRPr="007D11DA">
              <w:rPr>
                <w:rStyle w:val="Hyperlink"/>
                <w:noProof/>
              </w:rPr>
              <w:t>Statement of Comprehensive Income</w:t>
            </w:r>
            <w:r w:rsidR="002B01C5">
              <w:rPr>
                <w:noProof/>
                <w:webHidden/>
              </w:rPr>
              <w:tab/>
            </w:r>
            <w:r w:rsidR="002B01C5">
              <w:rPr>
                <w:noProof/>
                <w:webHidden/>
              </w:rPr>
              <w:fldChar w:fldCharType="begin"/>
            </w:r>
            <w:r w:rsidR="002B01C5">
              <w:rPr>
                <w:noProof/>
                <w:webHidden/>
              </w:rPr>
              <w:instrText xml:space="preserve"> PAGEREF _Toc402184220 \h </w:instrText>
            </w:r>
            <w:r w:rsidR="002B01C5">
              <w:rPr>
                <w:noProof/>
                <w:webHidden/>
              </w:rPr>
            </w:r>
            <w:r w:rsidR="002B01C5">
              <w:rPr>
                <w:noProof/>
                <w:webHidden/>
              </w:rPr>
              <w:fldChar w:fldCharType="separate"/>
            </w:r>
            <w:r>
              <w:rPr>
                <w:noProof/>
                <w:webHidden/>
              </w:rPr>
              <w:t>13</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21" w:history="1">
            <w:r w:rsidR="002B01C5" w:rsidRPr="007D11DA">
              <w:rPr>
                <w:rStyle w:val="Hyperlink"/>
                <w:noProof/>
              </w:rPr>
              <w:t>Statement of Changes in Equity</w:t>
            </w:r>
            <w:r w:rsidR="002B01C5">
              <w:rPr>
                <w:noProof/>
                <w:webHidden/>
              </w:rPr>
              <w:tab/>
            </w:r>
            <w:r w:rsidR="002B01C5">
              <w:rPr>
                <w:noProof/>
                <w:webHidden/>
              </w:rPr>
              <w:fldChar w:fldCharType="begin"/>
            </w:r>
            <w:r w:rsidR="002B01C5">
              <w:rPr>
                <w:noProof/>
                <w:webHidden/>
              </w:rPr>
              <w:instrText xml:space="preserve"> PAGEREF _Toc402184221 \h </w:instrText>
            </w:r>
            <w:r w:rsidR="002B01C5">
              <w:rPr>
                <w:noProof/>
                <w:webHidden/>
              </w:rPr>
            </w:r>
            <w:r w:rsidR="002B01C5">
              <w:rPr>
                <w:noProof/>
                <w:webHidden/>
              </w:rPr>
              <w:fldChar w:fldCharType="separate"/>
            </w:r>
            <w:r>
              <w:rPr>
                <w:noProof/>
                <w:webHidden/>
              </w:rPr>
              <w:t>14</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22" w:history="1">
            <w:r w:rsidR="002B01C5" w:rsidRPr="007D11DA">
              <w:rPr>
                <w:rStyle w:val="Hyperlink"/>
                <w:noProof/>
              </w:rPr>
              <w:t>Cash Flow Statement</w:t>
            </w:r>
            <w:r w:rsidR="002B01C5">
              <w:rPr>
                <w:noProof/>
                <w:webHidden/>
              </w:rPr>
              <w:tab/>
            </w:r>
            <w:r w:rsidR="002B01C5">
              <w:rPr>
                <w:noProof/>
                <w:webHidden/>
              </w:rPr>
              <w:fldChar w:fldCharType="begin"/>
            </w:r>
            <w:r w:rsidR="002B01C5">
              <w:rPr>
                <w:noProof/>
                <w:webHidden/>
              </w:rPr>
              <w:instrText xml:space="preserve"> PAGEREF _Toc402184222 \h </w:instrText>
            </w:r>
            <w:r w:rsidR="002B01C5">
              <w:rPr>
                <w:noProof/>
                <w:webHidden/>
              </w:rPr>
            </w:r>
            <w:r w:rsidR="002B01C5">
              <w:rPr>
                <w:noProof/>
                <w:webHidden/>
              </w:rPr>
              <w:fldChar w:fldCharType="separate"/>
            </w:r>
            <w:r>
              <w:rPr>
                <w:noProof/>
                <w:webHidden/>
              </w:rPr>
              <w:t>15</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23" w:history="1">
            <w:r w:rsidR="002B01C5" w:rsidRPr="007D11DA">
              <w:rPr>
                <w:rStyle w:val="Hyperlink"/>
                <w:noProof/>
              </w:rPr>
              <w:t>Notes to the Financial Statements</w:t>
            </w:r>
            <w:r w:rsidR="002B01C5">
              <w:rPr>
                <w:noProof/>
                <w:webHidden/>
              </w:rPr>
              <w:tab/>
            </w:r>
            <w:r w:rsidR="002B01C5">
              <w:rPr>
                <w:noProof/>
                <w:webHidden/>
              </w:rPr>
              <w:fldChar w:fldCharType="begin"/>
            </w:r>
            <w:r w:rsidR="002B01C5">
              <w:rPr>
                <w:noProof/>
                <w:webHidden/>
              </w:rPr>
              <w:instrText xml:space="preserve"> PAGEREF _Toc402184223 \h </w:instrText>
            </w:r>
            <w:r w:rsidR="002B01C5">
              <w:rPr>
                <w:noProof/>
                <w:webHidden/>
              </w:rPr>
            </w:r>
            <w:r w:rsidR="002B01C5">
              <w:rPr>
                <w:noProof/>
                <w:webHidden/>
              </w:rPr>
              <w:fldChar w:fldCharType="separate"/>
            </w:r>
            <w:r>
              <w:rPr>
                <w:noProof/>
                <w:webHidden/>
              </w:rPr>
              <w:t>16</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24" w:history="1">
            <w:r w:rsidR="002B01C5" w:rsidRPr="007D11DA">
              <w:rPr>
                <w:rStyle w:val="Hyperlink"/>
                <w:noProof/>
              </w:rPr>
              <w:t>Directors’ Declaration</w:t>
            </w:r>
            <w:r w:rsidR="002B01C5">
              <w:rPr>
                <w:noProof/>
                <w:webHidden/>
              </w:rPr>
              <w:tab/>
            </w:r>
            <w:r w:rsidR="002B01C5">
              <w:rPr>
                <w:noProof/>
                <w:webHidden/>
              </w:rPr>
              <w:fldChar w:fldCharType="begin"/>
            </w:r>
            <w:r w:rsidR="002B01C5">
              <w:rPr>
                <w:noProof/>
                <w:webHidden/>
              </w:rPr>
              <w:instrText xml:space="preserve"> PAGEREF _Toc402184224 \h </w:instrText>
            </w:r>
            <w:r w:rsidR="002B01C5">
              <w:rPr>
                <w:noProof/>
                <w:webHidden/>
              </w:rPr>
            </w:r>
            <w:r w:rsidR="002B01C5">
              <w:rPr>
                <w:noProof/>
                <w:webHidden/>
              </w:rPr>
              <w:fldChar w:fldCharType="separate"/>
            </w:r>
            <w:r>
              <w:rPr>
                <w:noProof/>
                <w:webHidden/>
              </w:rPr>
              <w:t>31</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25" w:history="1">
            <w:r w:rsidR="002B01C5" w:rsidRPr="007D11DA">
              <w:rPr>
                <w:rStyle w:val="Hyperlink"/>
                <w:noProof/>
              </w:rPr>
              <w:t>Auditor’s Independence Declaration</w:t>
            </w:r>
            <w:r w:rsidR="002B01C5">
              <w:rPr>
                <w:noProof/>
                <w:webHidden/>
              </w:rPr>
              <w:tab/>
            </w:r>
            <w:r w:rsidR="002B01C5">
              <w:rPr>
                <w:noProof/>
                <w:webHidden/>
              </w:rPr>
              <w:fldChar w:fldCharType="begin"/>
            </w:r>
            <w:r w:rsidR="002B01C5">
              <w:rPr>
                <w:noProof/>
                <w:webHidden/>
              </w:rPr>
              <w:instrText xml:space="preserve"> PAGEREF _Toc402184225 \h </w:instrText>
            </w:r>
            <w:r w:rsidR="002B01C5">
              <w:rPr>
                <w:noProof/>
                <w:webHidden/>
              </w:rPr>
            </w:r>
            <w:r w:rsidR="002B01C5">
              <w:rPr>
                <w:noProof/>
                <w:webHidden/>
              </w:rPr>
              <w:fldChar w:fldCharType="separate"/>
            </w:r>
            <w:r>
              <w:rPr>
                <w:noProof/>
                <w:webHidden/>
              </w:rPr>
              <w:t>32</w:t>
            </w:r>
            <w:r w:rsidR="002B01C5">
              <w:rPr>
                <w:noProof/>
                <w:webHidden/>
              </w:rPr>
              <w:fldChar w:fldCharType="end"/>
            </w:r>
          </w:hyperlink>
        </w:p>
        <w:p w:rsidR="002B01C5" w:rsidRDefault="0043400A">
          <w:pPr>
            <w:pStyle w:val="TOC1"/>
            <w:rPr>
              <w:rFonts w:eastAsiaTheme="minorEastAsia"/>
              <w:noProof/>
              <w:szCs w:val="22"/>
              <w:lang w:eastAsia="en-AU"/>
            </w:rPr>
          </w:pPr>
          <w:hyperlink w:anchor="_Toc402184226" w:history="1">
            <w:r w:rsidR="002B01C5" w:rsidRPr="007D11DA">
              <w:rPr>
                <w:rStyle w:val="Hyperlink"/>
                <w:rFonts w:eastAsia="Times New Roman"/>
                <w:noProof/>
              </w:rPr>
              <w:t>Independent Auditor’s Report to the members of Media Access Australia</w:t>
            </w:r>
            <w:r w:rsidR="002B01C5">
              <w:rPr>
                <w:noProof/>
                <w:webHidden/>
              </w:rPr>
              <w:tab/>
            </w:r>
            <w:r w:rsidR="002B01C5">
              <w:rPr>
                <w:noProof/>
                <w:webHidden/>
              </w:rPr>
              <w:fldChar w:fldCharType="begin"/>
            </w:r>
            <w:r w:rsidR="002B01C5">
              <w:rPr>
                <w:noProof/>
                <w:webHidden/>
              </w:rPr>
              <w:instrText xml:space="preserve"> PAGEREF _Toc402184226 \h </w:instrText>
            </w:r>
            <w:r w:rsidR="002B01C5">
              <w:rPr>
                <w:noProof/>
                <w:webHidden/>
              </w:rPr>
            </w:r>
            <w:r w:rsidR="002B01C5">
              <w:rPr>
                <w:noProof/>
                <w:webHidden/>
              </w:rPr>
              <w:fldChar w:fldCharType="separate"/>
            </w:r>
            <w:r>
              <w:rPr>
                <w:noProof/>
                <w:webHidden/>
              </w:rPr>
              <w:t>33</w:t>
            </w:r>
            <w:r w:rsidR="002B01C5">
              <w:rPr>
                <w:noProof/>
                <w:webHidden/>
              </w:rPr>
              <w:fldChar w:fldCharType="end"/>
            </w:r>
          </w:hyperlink>
        </w:p>
        <w:p w:rsidR="009B6735" w:rsidRDefault="009B6735" w:rsidP="001D0C47">
          <w:pPr>
            <w:spacing w:line="480" w:lineRule="auto"/>
          </w:pPr>
          <w:r>
            <w:rPr>
              <w:highlight w:val="yellow"/>
            </w:rPr>
            <w:fldChar w:fldCharType="end"/>
          </w:r>
        </w:p>
      </w:sdtContent>
    </w:sdt>
    <w:p w:rsidR="009B6735" w:rsidRDefault="009B6735" w:rsidP="00F56420">
      <w:pPr>
        <w:widowControl w:val="0"/>
        <w:autoSpaceDE w:val="0"/>
        <w:autoSpaceDN w:val="0"/>
        <w:adjustRightInd w:val="0"/>
        <w:spacing w:before="100" w:beforeAutospacing="1" w:after="0" w:line="240" w:lineRule="auto"/>
        <w:ind w:left="1176" w:right="1174"/>
        <w:rPr>
          <w:rFonts w:ascii="Times New Roman" w:hAnsi="Times New Roman"/>
          <w:sz w:val="24"/>
          <w:szCs w:val="24"/>
        </w:rPr>
        <w:sectPr w:rsidR="009B6735" w:rsidSect="001D0C47">
          <w:pgSz w:w="11904" w:h="16836"/>
          <w:pgMar w:top="1134" w:right="1134" w:bottom="1134" w:left="1134" w:header="720" w:footer="720" w:gutter="0"/>
          <w:cols w:space="720"/>
          <w:noEndnote/>
          <w:docGrid w:linePitch="299"/>
        </w:sectPr>
      </w:pPr>
    </w:p>
    <w:p w:rsidR="00D2400B" w:rsidRPr="00E66BCA" w:rsidRDefault="00D2400B" w:rsidP="00E66BCA">
      <w:pPr>
        <w:pStyle w:val="Heading1"/>
        <w:spacing w:before="0"/>
      </w:pPr>
      <w:bookmarkStart w:id="0" w:name="_Toc402184216"/>
      <w:r w:rsidRPr="00E66BCA">
        <w:lastRenderedPageBreak/>
        <w:t>Chairman’s Report</w:t>
      </w:r>
      <w:bookmarkEnd w:id="0"/>
    </w:p>
    <w:p w:rsidR="00D2400B" w:rsidRPr="00E66BCA" w:rsidRDefault="009348B8" w:rsidP="00D2400B">
      <w:pPr>
        <w:rPr>
          <w:rStyle w:val="Strong"/>
        </w:rPr>
      </w:pPr>
      <w:r w:rsidRPr="00E66BCA">
        <w:rPr>
          <w:rStyle w:val="Strong"/>
        </w:rPr>
        <w:t xml:space="preserve">For the Year ended 30 June </w:t>
      </w:r>
      <w:r w:rsidR="00985FF4" w:rsidRPr="00E66BCA">
        <w:rPr>
          <w:rStyle w:val="Strong"/>
        </w:rPr>
        <w:t>2015</w:t>
      </w:r>
    </w:p>
    <w:p w:rsidR="00E66BCA" w:rsidRPr="003D2B72" w:rsidRDefault="00E66BCA" w:rsidP="003D2B72">
      <w:pPr>
        <w:ind w:right="-48"/>
        <w:rPr>
          <w:sz w:val="21"/>
          <w:szCs w:val="21"/>
        </w:rPr>
      </w:pPr>
      <w:r w:rsidRPr="003D2B72">
        <w:rPr>
          <w:sz w:val="21"/>
          <w:szCs w:val="21"/>
        </w:rPr>
        <w:t>Media Access Australia continues to inform, advocate and promote access to media and information across traditional media and the growing area of digital media. Our expertise, practical approach and long-term view came into play on a number of issues this year where we were able to significantly influence outcomes and direction in a positive way.</w:t>
      </w:r>
    </w:p>
    <w:p w:rsidR="00E66BCA" w:rsidRPr="003D2B72" w:rsidRDefault="00E66BCA" w:rsidP="003D2B72">
      <w:pPr>
        <w:ind w:right="-48"/>
        <w:rPr>
          <w:sz w:val="21"/>
          <w:szCs w:val="21"/>
        </w:rPr>
      </w:pPr>
      <w:r w:rsidRPr="003D2B72">
        <w:rPr>
          <w:sz w:val="21"/>
          <w:szCs w:val="21"/>
        </w:rPr>
        <w:t xml:space="preserve">A good example of this was the attempt to wind back provisions of the </w:t>
      </w:r>
      <w:r w:rsidRPr="003D2B72">
        <w:rPr>
          <w:i/>
          <w:sz w:val="21"/>
          <w:szCs w:val="21"/>
        </w:rPr>
        <w:t>Broadcasting Services Act</w:t>
      </w:r>
      <w:r w:rsidRPr="003D2B72">
        <w:rPr>
          <w:sz w:val="21"/>
          <w:szCs w:val="21"/>
        </w:rPr>
        <w:t xml:space="preserve"> and captioning. This was performed under the general government push of “repealing red tape”. Whilst acknowledging that some of the captioning reporting requirements were cumbersome, there were moves to remove all reporting and rely on the market to deliver access into the future. A carefully coordinated advocacy plan, led by Media Access Australia with the support of consumer organisations, targeted Federal politicians and resulted in only minor changes. Without us, it was clear that these changes would have crept through and taken television access back several years in the process.  </w:t>
      </w:r>
    </w:p>
    <w:p w:rsidR="00E66BCA" w:rsidRPr="003D2B72" w:rsidRDefault="00E66BCA" w:rsidP="003D2B72">
      <w:pPr>
        <w:ind w:right="-48"/>
        <w:rPr>
          <w:sz w:val="21"/>
          <w:szCs w:val="21"/>
        </w:rPr>
      </w:pPr>
      <w:r w:rsidRPr="003D2B72">
        <w:rPr>
          <w:sz w:val="21"/>
          <w:szCs w:val="21"/>
        </w:rPr>
        <w:t xml:space="preserve">Our international contacts and recognised expertise also come into play in the </w:t>
      </w:r>
      <w:r w:rsidR="003D2B72">
        <w:rPr>
          <w:sz w:val="21"/>
          <w:szCs w:val="21"/>
        </w:rPr>
        <w:t>fast</w:t>
      </w:r>
      <w:r w:rsidRPr="003D2B72">
        <w:rPr>
          <w:sz w:val="21"/>
          <w:szCs w:val="21"/>
        </w:rPr>
        <w:t xml:space="preserve"> growing area of digital media. Through our involvement in international reviews and discussions we are able to use that to influence Australian policy and providers. Clearly a game changer for digital media services was the launch of Netflix with 100% captioning and some audio description services from inception. This shows that such services can be readily provided and have commercial value. </w:t>
      </w:r>
    </w:p>
    <w:p w:rsidR="00E66BCA" w:rsidRPr="003D2B72" w:rsidRDefault="00E66BCA" w:rsidP="003D2B72">
      <w:pPr>
        <w:ind w:right="-48"/>
        <w:rPr>
          <w:sz w:val="21"/>
          <w:szCs w:val="21"/>
        </w:rPr>
      </w:pPr>
      <w:r w:rsidRPr="003D2B72">
        <w:rPr>
          <w:sz w:val="21"/>
          <w:szCs w:val="21"/>
        </w:rPr>
        <w:t xml:space="preserve">A major focus for the year has been addressing the need to develop income streams, particularly as the share market continued its volatile course meaning that we could not rely on that alone to fund our activities. At the core of our professional services is that the work we undertake always fits into our mission in making media and information more accessible. This has resulted in significant restructuring of the organisation and the introduction of a professional sales team to help secure this income. The organisation has also developed new products and approaches, separated the professional and consumer services onto different websites and dealt with setting up a basic consulting business. The growth has been steady, reflecting that the market is still in its infancy and a lot of the prospecting work that we undertake is also part-education and promotion of the need for accessibility. We are starting to see significant results and are now providing assistance to a wide range of government, educational and commercial clients. </w:t>
      </w:r>
    </w:p>
    <w:p w:rsidR="00E66BCA" w:rsidRPr="003D2B72" w:rsidRDefault="003D2B72" w:rsidP="003D2B72">
      <w:pPr>
        <w:ind w:right="-48"/>
        <w:rPr>
          <w:sz w:val="21"/>
          <w:szCs w:val="21"/>
        </w:rPr>
      </w:pPr>
      <w:r>
        <w:rPr>
          <w:sz w:val="21"/>
          <w:szCs w:val="21"/>
        </w:rPr>
        <w:t xml:space="preserve">Particular thanks </w:t>
      </w:r>
      <w:r w:rsidR="00E66BCA" w:rsidRPr="003D2B72">
        <w:rPr>
          <w:sz w:val="21"/>
          <w:szCs w:val="21"/>
        </w:rPr>
        <w:t>to fellow director Darren Fittler who used the milestone of a major birthday to undertake a fitness fundraiser on behalf of Media Access Australia that ra</w:t>
      </w:r>
      <w:r>
        <w:rPr>
          <w:sz w:val="21"/>
          <w:szCs w:val="21"/>
        </w:rPr>
        <w:t>ised over ten thousand dollars.</w:t>
      </w:r>
    </w:p>
    <w:p w:rsidR="00E66BCA" w:rsidRPr="003D2B72" w:rsidRDefault="00E66BCA" w:rsidP="003D2B72">
      <w:pPr>
        <w:ind w:right="-48"/>
        <w:rPr>
          <w:sz w:val="21"/>
          <w:szCs w:val="21"/>
        </w:rPr>
      </w:pPr>
      <w:r w:rsidRPr="003D2B72">
        <w:rPr>
          <w:sz w:val="21"/>
          <w:szCs w:val="21"/>
        </w:rPr>
        <w:t xml:space="preserve">The board have continued to provide considerable input and expertise into the various facets of our work, including the provision of professional services. </w:t>
      </w:r>
    </w:p>
    <w:p w:rsidR="00E66BCA" w:rsidRPr="003D2B72" w:rsidRDefault="00E66BCA" w:rsidP="003D2B72">
      <w:pPr>
        <w:ind w:right="-48"/>
        <w:rPr>
          <w:sz w:val="21"/>
          <w:szCs w:val="21"/>
        </w:rPr>
      </w:pPr>
      <w:r w:rsidRPr="003D2B72">
        <w:rPr>
          <w:sz w:val="21"/>
          <w:szCs w:val="21"/>
        </w:rPr>
        <w:t xml:space="preserve">The team, led by Alex Varley, has embraced the quite significant changes in direction with their passion and commitment to access for people with disabilities and we continue to perform a vital role in Australia and internationally in improving accessibility. </w:t>
      </w:r>
    </w:p>
    <w:p w:rsidR="00871D5A" w:rsidRDefault="00E66BCA" w:rsidP="00871D5A">
      <w:pPr>
        <w:rPr>
          <w:rFonts w:ascii="Arial" w:hAnsi="Arial" w:cs="Arial"/>
          <w:noProof/>
          <w:highlight w:val="yellow"/>
          <w:lang w:eastAsia="en-AU"/>
        </w:rPr>
      </w:pPr>
      <w:r>
        <w:rPr>
          <w:rFonts w:ascii="Arial" w:hAnsi="Arial" w:cs="Arial"/>
          <w:noProof/>
          <w:lang w:eastAsia="en-AU"/>
        </w:rPr>
        <w:drawing>
          <wp:inline distT="0" distB="0" distL="0" distR="0">
            <wp:extent cx="1293779" cy="389792"/>
            <wp:effectExtent l="0" t="0" r="1905" b="0"/>
            <wp:docPr id="2" name="Picture 2" descr="Ian M. Roach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che's digital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299452" cy="391501"/>
                    </a:xfrm>
                    <a:prstGeom prst="rect">
                      <a:avLst/>
                    </a:prstGeom>
                  </pic:spPr>
                </pic:pic>
              </a:graphicData>
            </a:graphic>
          </wp:inline>
        </w:drawing>
      </w:r>
    </w:p>
    <w:p w:rsidR="00871D5A" w:rsidRPr="00E66BCA" w:rsidRDefault="00871D5A" w:rsidP="00E66BCA">
      <w:pPr>
        <w:spacing w:after="0"/>
        <w:rPr>
          <w:rFonts w:ascii="Arial" w:hAnsi="Arial" w:cs="Arial"/>
        </w:rPr>
      </w:pPr>
      <w:r w:rsidRPr="00E66BCA">
        <w:rPr>
          <w:rFonts w:ascii="Arial" w:hAnsi="Arial" w:cs="Arial"/>
        </w:rPr>
        <w:t xml:space="preserve">Ian Roache </w:t>
      </w:r>
    </w:p>
    <w:p w:rsidR="003206AB" w:rsidRPr="003D2B72" w:rsidRDefault="00871D5A" w:rsidP="003D2B72">
      <w:pPr>
        <w:rPr>
          <w:rFonts w:ascii="Arial" w:hAnsi="Arial" w:cs="Arial"/>
          <w:b/>
        </w:rPr>
      </w:pPr>
      <w:r w:rsidRPr="00E66BCA">
        <w:rPr>
          <w:rFonts w:ascii="Arial" w:hAnsi="Arial" w:cs="Arial"/>
          <w:b/>
        </w:rPr>
        <w:t>Chairman</w:t>
      </w:r>
      <w:r w:rsidR="003206AB">
        <w:rPr>
          <w:rFonts w:ascii="Arial" w:hAnsi="Arial" w:cs="Arial"/>
        </w:rPr>
        <w:br w:type="page"/>
      </w:r>
    </w:p>
    <w:p w:rsidR="00D2400B" w:rsidRPr="00E66BCA" w:rsidRDefault="00D2400B" w:rsidP="00BB08CF">
      <w:pPr>
        <w:pStyle w:val="Heading1"/>
        <w:spacing w:before="120"/>
        <w:rPr>
          <w:szCs w:val="48"/>
        </w:rPr>
      </w:pPr>
      <w:bookmarkStart w:id="1" w:name="_Toc402184217"/>
      <w:r w:rsidRPr="00E66BCA">
        <w:lastRenderedPageBreak/>
        <w:t>CEO’s Report</w:t>
      </w:r>
      <w:bookmarkEnd w:id="1"/>
    </w:p>
    <w:p w:rsidR="00D2400B" w:rsidRPr="00E66BCA" w:rsidRDefault="00D2400B" w:rsidP="00D2400B">
      <w:pPr>
        <w:rPr>
          <w:b/>
          <w:sz w:val="24"/>
          <w:szCs w:val="24"/>
        </w:rPr>
      </w:pPr>
      <w:r w:rsidRPr="00E66BCA">
        <w:rPr>
          <w:b/>
        </w:rPr>
        <w:t xml:space="preserve">For the Year Ended 30 June </w:t>
      </w:r>
      <w:r w:rsidR="00985FF4" w:rsidRPr="00E66BCA">
        <w:rPr>
          <w:b/>
        </w:rPr>
        <w:t>2015</w:t>
      </w:r>
    </w:p>
    <w:p w:rsidR="00E66BCA" w:rsidRDefault="00E66BCA" w:rsidP="00E66BCA">
      <w:pPr>
        <w:spacing w:line="240" w:lineRule="auto"/>
      </w:pPr>
      <w:r>
        <w:t xml:space="preserve">Media Access Australia is the expert organisation that continues to deliver practical, real-world, mainstream advocacy, advice and professional services. This report is a selection of key events and milestones for the year. There is far more detail and up-to-date information contained in our websites: </w:t>
      </w:r>
      <w:hyperlink r:id="rId12" w:history="1">
        <w:r w:rsidRPr="00A01A40">
          <w:rPr>
            <w:rStyle w:val="Hyperlink"/>
          </w:rPr>
          <w:t>www.mediaaccess.org.au</w:t>
        </w:r>
      </w:hyperlink>
      <w:r>
        <w:t xml:space="preserve">, </w:t>
      </w:r>
      <w:hyperlink r:id="rId13" w:history="1">
        <w:r w:rsidRPr="00A01A40">
          <w:rPr>
            <w:rStyle w:val="Hyperlink"/>
          </w:rPr>
          <w:t>www.accessiq.org</w:t>
        </w:r>
      </w:hyperlink>
      <w:r>
        <w:t xml:space="preserve">, </w:t>
      </w:r>
      <w:hyperlink r:id="rId14" w:history="1">
        <w:r w:rsidRPr="00A01A40">
          <w:rPr>
            <w:rStyle w:val="Hyperlink"/>
          </w:rPr>
          <w:t>www.digitalaccessibilityservices.com.au</w:t>
        </w:r>
      </w:hyperlink>
      <w:r>
        <w:t xml:space="preserve">, </w:t>
      </w:r>
      <w:hyperlink r:id="rId15" w:history="1">
        <w:r w:rsidRPr="00F051FC">
          <w:rPr>
            <w:rStyle w:val="Hyperlink"/>
          </w:rPr>
          <w:t>www.audiodescription.com.au</w:t>
        </w:r>
      </w:hyperlink>
      <w:r>
        <w:t xml:space="preserve"> and </w:t>
      </w:r>
      <w:hyperlink r:id="rId16" w:history="1">
        <w:r w:rsidRPr="00A01A40">
          <w:rPr>
            <w:rStyle w:val="Hyperlink"/>
          </w:rPr>
          <w:t>www.capthat.org.au</w:t>
        </w:r>
      </w:hyperlink>
      <w:r>
        <w:t xml:space="preserve">. We practice what we promote and advocate for and all of our websites meet the WCAG 2.0 AA accessibility requirements. </w:t>
      </w:r>
    </w:p>
    <w:p w:rsidR="00E66BCA" w:rsidRDefault="00E66BCA" w:rsidP="00E66BCA">
      <w:pPr>
        <w:pStyle w:val="Heading3"/>
      </w:pPr>
      <w:r>
        <w:t>Television</w:t>
      </w:r>
    </w:p>
    <w:p w:rsidR="00E66BCA" w:rsidRDefault="00E66BCA" w:rsidP="00E66BCA">
      <w:pPr>
        <w:spacing w:line="240" w:lineRule="auto"/>
      </w:pPr>
      <w:r>
        <w:t xml:space="preserve">A considerable part of the year was taken up with attempts to wind-back the captioning provisions of the </w:t>
      </w:r>
      <w:r w:rsidRPr="007C3E9C">
        <w:rPr>
          <w:i/>
        </w:rPr>
        <w:t>Broadcasting Services Act</w:t>
      </w:r>
      <w:r>
        <w:t xml:space="preserve">. This was promoted under the Federal Government’s “repeal red tape” campaigns and focussed on reporting and review aspects of the regulations. Media Access Australia joined with consumer advocates to persuade parliamentarians to block this and ultimately we were successful with the only real change being a delay of a regulator review until 2016 (from 2015).  </w:t>
      </w:r>
    </w:p>
    <w:p w:rsidR="00E66BCA" w:rsidRDefault="00E66BCA" w:rsidP="00E66BCA">
      <w:pPr>
        <w:spacing w:line="240" w:lineRule="auto"/>
      </w:pPr>
      <w:r>
        <w:t xml:space="preserve">A lack of action on the provision of an audio description television service lead to major consumer advocacy with Vision Australia making complaints in the Australian Human Rights Commission against SBS, Seven, Nine, Ten and Foxtel for failing to provide a service. These complaints were subject to procedural discussion and there was no resolution of the complaints by the end of the year. We also noted that the New Zealand government increased its funding of audio description and captioning as the amount of audio description rose to 20 hours per week. </w:t>
      </w:r>
    </w:p>
    <w:p w:rsidR="00E66BCA" w:rsidRDefault="00E66BCA" w:rsidP="00E66BCA">
      <w:pPr>
        <w:spacing w:line="240" w:lineRule="auto"/>
      </w:pPr>
      <w:r>
        <w:t>On a more positive note, subscription television industry association ASTRA started a regular consultation process with organisations representing Deaf and hearing impaired people (with MAA involved too). These meetings are to discuss quality issues, new services and anything of concern from a consumer perspective and show that captioning services have matured.</w:t>
      </w:r>
    </w:p>
    <w:p w:rsidR="00E66BCA" w:rsidRDefault="00E66BCA" w:rsidP="00E66BCA">
      <w:pPr>
        <w:spacing w:line="240" w:lineRule="auto"/>
      </w:pPr>
      <w:r>
        <w:t>A further sign that the captioning industry is maturing, supplier Ai Media started releasing quality control results for its live captioning services using the NER model developed by UK academic Pablo Romero-Fresco. This was followed by Red Bee Media (now Ericsson) doing the same. Whilst the value of the reported achievements might be very limited, it does show a greater openness in discussing caption quality and this will feed into more formal discussions with the regulator. To aid this process the Australian Communications and Media Authority announced that it was hosting a live captioning day to discuss issues of quality and to bring consumers and broadcasters together.</w:t>
      </w:r>
    </w:p>
    <w:p w:rsidR="00E66BCA" w:rsidRDefault="00E66BCA" w:rsidP="00E66BCA">
      <w:pPr>
        <w:spacing w:line="240" w:lineRule="auto"/>
      </w:pPr>
      <w:r>
        <w:t>As an illustration of how some countries are far advanced, the Canadian regulator made the captioning of all television commercials and promotions mandatory from 1 September 2014.</w:t>
      </w:r>
    </w:p>
    <w:p w:rsidR="00E66BCA" w:rsidRDefault="00E66BCA" w:rsidP="00E66BCA">
      <w:pPr>
        <w:pStyle w:val="Heading3"/>
      </w:pPr>
      <w:r>
        <w:t>Digital media and consumer access</w:t>
      </w:r>
    </w:p>
    <w:p w:rsidR="00E66BCA" w:rsidRDefault="00E66BCA" w:rsidP="00E66BCA">
      <w:pPr>
        <w:spacing w:line="240" w:lineRule="auto"/>
      </w:pPr>
      <w:r>
        <w:t xml:space="preserve">One of the most exciting events and a highlight of the year in access was the launch of the Netflix Video on Demand (VOD) service.  Netflix launched in Australia with 100% captioning and started providing a limited range of audio described programs as well. This shows that international providers take a very different view to access services, essentially running out the same product across the globe. </w:t>
      </w:r>
    </w:p>
    <w:p w:rsidR="00E66BCA" w:rsidRDefault="00E66BCA" w:rsidP="00E66BCA">
      <w:pPr>
        <w:spacing w:line="240" w:lineRule="auto"/>
      </w:pPr>
      <w:r>
        <w:t xml:space="preserve">With this approach in mind, it made the time that I spent in London at a major VOD conference in November 2014 more relevant. I was an invited panellist for this major event where the </w:t>
      </w:r>
      <w:r>
        <w:lastRenderedPageBreak/>
        <w:t>conference discussions led to local VOD services expanding access provision and a consumer-led campaign to push the UK government to regulate for access. The Netflix experience shows that there is potential flow on to Australian services as many of the providers operate internationally.</w:t>
      </w:r>
    </w:p>
    <w:p w:rsidR="00E66BCA" w:rsidRDefault="00E66BCA" w:rsidP="00E66BCA">
      <w:pPr>
        <w:spacing w:line="240" w:lineRule="auto"/>
      </w:pPr>
      <w:r>
        <w:t xml:space="preserve">This year also saw the start of the ABC iView audio description service trial that is being run by the ABC on behalf of the Department of Communications. This provides a mix of programming on the popular VOD service and will ramp up gradually across platforms. Whilst it is not a substitute for the lack of audio description on the broadcast service, it is a welcome addition to the small number of audio described services in Australia. </w:t>
      </w:r>
    </w:p>
    <w:p w:rsidR="00E66BCA" w:rsidRDefault="00E66BCA" w:rsidP="00E66BCA">
      <w:pPr>
        <w:spacing w:line="240" w:lineRule="auto"/>
      </w:pPr>
      <w:r>
        <w:t xml:space="preserve">The final milestone in the important VOD area was our launch of a major updated review of the accessibility of VOD and related services in Australia. This research was conducted by Chris Mikul and became the benchmark document for progression of services and showing that Australia needs to improve compared to other English-speaking countries. The report proved to be very popular and downloaded across the world (as often happens with our resources). For example, it was tabled at a major European Union accessibility meeting. </w:t>
      </w:r>
    </w:p>
    <w:p w:rsidR="00E66BCA" w:rsidRDefault="00E66BCA" w:rsidP="00E66BCA">
      <w:pPr>
        <w:spacing w:line="240" w:lineRule="auto"/>
      </w:pPr>
      <w:r>
        <w:t xml:space="preserve">With captioning on airlines being a more common service, Emirates launched a new world-first service in mid-2014 providing audio described movies on its in-flight entertainment system. </w:t>
      </w:r>
    </w:p>
    <w:p w:rsidR="00E66BCA" w:rsidRDefault="00E66BCA" w:rsidP="00E66BCA">
      <w:pPr>
        <w:spacing w:line="240" w:lineRule="auto"/>
      </w:pPr>
      <w:r>
        <w:t xml:space="preserve">We ended the year securing a grant from consumer organisation ACCAN. This project will result in a consumer microsite looking at affordable accessible solutions for telecommunications, tablets and internet access. As always with Media Access Australia guides and information it will be very practical in nature and very frank in its advice. </w:t>
      </w:r>
    </w:p>
    <w:p w:rsidR="00E66BCA" w:rsidRDefault="00E66BCA" w:rsidP="00E66BCA">
      <w:pPr>
        <w:pStyle w:val="Heading3"/>
      </w:pPr>
      <w:r>
        <w:t>Cinema and DVD</w:t>
      </w:r>
    </w:p>
    <w:p w:rsidR="00E66BCA" w:rsidRDefault="00E66BCA" w:rsidP="00E66BCA">
      <w:pPr>
        <w:spacing w:line="240" w:lineRule="auto"/>
      </w:pPr>
      <w:r>
        <w:t>There have been few major developments in these areas with no progress on a coordinated rollout of accessibility in independent cinemas, although some individual cinemas have provided captioning and audio description anyway, as part of their transition to digital cinema playout.</w:t>
      </w:r>
    </w:p>
    <w:p w:rsidR="00E66BCA" w:rsidRDefault="00E66BCA" w:rsidP="00E66BCA">
      <w:pPr>
        <w:spacing w:line="240" w:lineRule="auto"/>
      </w:pPr>
      <w:r>
        <w:t xml:space="preserve">One of the backlashes to the lack of development has been the emergence of a consumer-led revival of open captioned cinema. This is a formalised grassroots movement to match cinema audience demand for open captions with specific open-captioned screenings in particular locations. </w:t>
      </w:r>
    </w:p>
    <w:p w:rsidR="00E66BCA" w:rsidRDefault="00E66BCA" w:rsidP="00E66BCA">
      <w:pPr>
        <w:spacing w:line="240" w:lineRule="auto"/>
      </w:pPr>
      <w:r>
        <w:t xml:space="preserve">Cinema access is improving in the non-English speaking world as technology improves. A good example is Japan providing both captioning and audio description on a trial basis with prototype equipment based on similar systems in use in the USA and Australia. </w:t>
      </w:r>
    </w:p>
    <w:p w:rsidR="00E66BCA" w:rsidRDefault="00E66BCA" w:rsidP="00E66BCA">
      <w:pPr>
        <w:pStyle w:val="Heading3"/>
      </w:pPr>
      <w:r>
        <w:t>Education</w:t>
      </w:r>
    </w:p>
    <w:p w:rsidR="00E66BCA" w:rsidRDefault="00E66BCA" w:rsidP="00E66BCA">
      <w:pPr>
        <w:spacing w:line="240" w:lineRule="auto"/>
      </w:pPr>
      <w:r>
        <w:t xml:space="preserve">Our 2014 cap that! </w:t>
      </w:r>
      <w:proofErr w:type="gramStart"/>
      <w:r>
        <w:t>campaign</w:t>
      </w:r>
      <w:proofErr w:type="gramEnd"/>
      <w:r>
        <w:t xml:space="preserve"> launched in September supported by Conexu Foundation. We then commenced planning and implementation for the 2015 campaign for the remainder of the year. This time around there was a greater focus on distribution and awareness among the non-government school sectors and we gained considerable traction among Catholic schools in particular. There was also a move back to the basic campaign of always turning on captions in the classroom and teacher resources and messages all focussed on this. Conexu Foundation continued its support for the 2015 campaign and was joined by Discovery Kids (100% captioned channel on subscription television) who provided video promotions and support and the Times Education Supplement that sent materials to an Australia-wide specialised teacher news service. </w:t>
      </w:r>
    </w:p>
    <w:p w:rsidR="00E66BCA" w:rsidRDefault="00E66BCA" w:rsidP="00E66BCA">
      <w:pPr>
        <w:pStyle w:val="Heading3"/>
      </w:pPr>
      <w:r>
        <w:t>Professional web accessibility</w:t>
      </w:r>
    </w:p>
    <w:p w:rsidR="00E66BCA" w:rsidRDefault="00E66BCA" w:rsidP="00E66BCA">
      <w:pPr>
        <w:spacing w:line="240" w:lineRule="auto"/>
      </w:pPr>
      <w:r>
        <w:lastRenderedPageBreak/>
        <w:t xml:space="preserve">Whilst staff changes have led to some reassignment of priorities and focus, our dedicated professional web accessibility site, Access </w:t>
      </w:r>
      <w:proofErr w:type="spellStart"/>
      <w:proofErr w:type="gramStart"/>
      <w:r>
        <w:t>iQ</w:t>
      </w:r>
      <w:proofErr w:type="spellEnd"/>
      <w:proofErr w:type="gramEnd"/>
      <w:r>
        <w:t xml:space="preserve"> grew in popularity with a doubling of its worldwide following. We expect that the new focus on professional accessibility training and development pursued by both the W3C international standards body and the growing International Association of Web Accessibility Professionals will bring more people to the rich resources of Access </w:t>
      </w:r>
      <w:proofErr w:type="spellStart"/>
      <w:proofErr w:type="gramStart"/>
      <w:r>
        <w:t>iQ</w:t>
      </w:r>
      <w:proofErr w:type="spellEnd"/>
      <w:proofErr w:type="gramEnd"/>
      <w:r>
        <w:t>.</w:t>
      </w:r>
    </w:p>
    <w:p w:rsidR="00E66BCA" w:rsidRDefault="00E66BCA" w:rsidP="00E66BCA">
      <w:pPr>
        <w:spacing w:line="240" w:lineRule="auto"/>
      </w:pPr>
      <w:r>
        <w:t xml:space="preserve">The successful suing of supermarket chain Coles by a blind advocate for the lack of accessibility of its online shopping service has had major impacts on web accessibility. Many consumer companies have started looking at this issue and are working on how to manage it. The same advocate also launched the Digital Accessibility Gap project in May to keep the momentum going. </w:t>
      </w:r>
    </w:p>
    <w:p w:rsidR="00E66BCA" w:rsidRDefault="00E66BCA" w:rsidP="00E66BCA">
      <w:pPr>
        <w:spacing w:line="240" w:lineRule="auto"/>
      </w:pPr>
      <w:r>
        <w:t xml:space="preserve">It is fair to say that the ending of the Federal Government’s National Transition Strategy (NTS) in December 2014 has led to mixed results. Some governments have continued to improve web accessibility and others have tailed off with budgets cut and a lack of professional resources hindering any serious development. Whilst still in its formative stages of establishment, the newly formed Digital Transformation Office (DTO) provides a new approach for inclusive design and service standards. We will continue to remain abreast of emerging standards and issues so as to provide practical advice back to web professionals.  </w:t>
      </w:r>
    </w:p>
    <w:p w:rsidR="00E66BCA" w:rsidRDefault="00E66BCA" w:rsidP="00E66BCA">
      <w:pPr>
        <w:pStyle w:val="Heading3"/>
      </w:pPr>
      <w:r>
        <w:t>Communications and information</w:t>
      </w:r>
    </w:p>
    <w:p w:rsidR="00E66BCA" w:rsidRDefault="00E66BCA" w:rsidP="00E66BCA">
      <w:pPr>
        <w:spacing w:line="240" w:lineRule="auto"/>
      </w:pPr>
      <w:r>
        <w:t>Our other websites continue to grow traffic as well. Our focus has always been on up-to-date, practically relevant content and this year we put in place new processes to ensure that a steady stream of content was produced. This was supported by a reconfiguration of content and website structure to reflect changes in popularity of media and new content that needed coverage.</w:t>
      </w:r>
    </w:p>
    <w:p w:rsidR="00E66BCA" w:rsidRDefault="00E66BCA" w:rsidP="00E66BCA">
      <w:pPr>
        <w:spacing w:line="240" w:lineRule="auto"/>
      </w:pPr>
      <w:r>
        <w:t xml:space="preserve">Part of this website restructuring was to reduce confusion between our brands and websites. We made clearer differentiation between the consumer Media Access Australia site and professional Access </w:t>
      </w:r>
      <w:proofErr w:type="spellStart"/>
      <w:proofErr w:type="gramStart"/>
      <w:r>
        <w:t>iQ</w:t>
      </w:r>
      <w:proofErr w:type="spellEnd"/>
      <w:proofErr w:type="gramEnd"/>
      <w:r>
        <w:t xml:space="preserve"> site. We also launched a new digital accessibility services website (</w:t>
      </w:r>
      <w:hyperlink r:id="rId17" w:history="1">
        <w:r w:rsidRPr="00A01A40">
          <w:rPr>
            <w:rStyle w:val="Hyperlink"/>
          </w:rPr>
          <w:t>www.digitalaccessibilityservices.com.au</w:t>
        </w:r>
      </w:hyperlink>
      <w:r>
        <w:t xml:space="preserve">) to showcase our professional services and separate them from the main consumer website. Access </w:t>
      </w:r>
      <w:proofErr w:type="spellStart"/>
      <w:proofErr w:type="gramStart"/>
      <w:r>
        <w:t>iQ</w:t>
      </w:r>
      <w:proofErr w:type="spellEnd"/>
      <w:proofErr w:type="gramEnd"/>
      <w:r>
        <w:t xml:space="preserve"> remains a specialist website for web professionals. </w:t>
      </w:r>
    </w:p>
    <w:p w:rsidR="00E66BCA" w:rsidRDefault="00E66BCA" w:rsidP="00E66BCA">
      <w:pPr>
        <w:spacing w:line="240" w:lineRule="auto"/>
      </w:pPr>
      <w:r>
        <w:t xml:space="preserve">Our successful white paper series continued with Cloud Computing Accessibility sponsored by the Australian Web Industry Association and authored by Dr Scott Hollier as we looked at cutting-edge issues with a practical bent. The paper proved popular and was shared across the world. </w:t>
      </w:r>
    </w:p>
    <w:p w:rsidR="00E66BCA" w:rsidRDefault="00E66BCA" w:rsidP="00E66BCA">
      <w:pPr>
        <w:spacing w:line="240" w:lineRule="auto"/>
      </w:pPr>
      <w:r>
        <w:t>We attended many conferences and presented many papers, but a highlight for me was the bi-annual Languages and the Media in Berlin. I developed and chaired what was probably the conference highlight which was an expert panel speculating on what access services would be like in 2020.</w:t>
      </w:r>
    </w:p>
    <w:p w:rsidR="00E66BCA" w:rsidRDefault="00E66BCA" w:rsidP="00E66BCA">
      <w:pPr>
        <w:spacing w:line="240" w:lineRule="auto"/>
      </w:pPr>
      <w:r>
        <w:t xml:space="preserve">I also served for the final time as the chief judge of annual captioning awards hosted by Deafness Forum, who announced that the 2014 awards were the last for the foreseeable future. This is more of a reflection of the mainstreaming of captioning where it is difficult to find exceptional developments, rather than a reduction in the industry passion for delivering good captioning services.  </w:t>
      </w:r>
    </w:p>
    <w:p w:rsidR="003D2B72" w:rsidRDefault="003D2B72">
      <w:pPr>
        <w:spacing w:after="200"/>
        <w:rPr>
          <w:sz w:val="32"/>
          <w:szCs w:val="32"/>
        </w:rPr>
      </w:pPr>
      <w:r>
        <w:br w:type="page"/>
      </w:r>
    </w:p>
    <w:p w:rsidR="00E66BCA" w:rsidRDefault="00E66BCA" w:rsidP="00E66BCA">
      <w:pPr>
        <w:pStyle w:val="Heading3"/>
        <w:tabs>
          <w:tab w:val="left" w:pos="8775"/>
        </w:tabs>
      </w:pPr>
      <w:r>
        <w:lastRenderedPageBreak/>
        <w:t>Digital accessibility services</w:t>
      </w:r>
      <w:r>
        <w:tab/>
      </w:r>
    </w:p>
    <w:p w:rsidR="00E66BCA" w:rsidRDefault="00E66BCA" w:rsidP="00E66BCA">
      <w:pPr>
        <w:spacing w:line="240" w:lineRule="auto"/>
      </w:pPr>
      <w:r>
        <w:t xml:space="preserve">A much newer area for us has been the expansion of our professional digital accessibility services. The year saw a significant improvement in our business development processes under the direction of new sales director Geoff Knight. The whole operations team, under the management of my deputy CEO, Natalie Collins, has brought a rigour and professionalism to this area as we build our brand and client lists. </w:t>
      </w:r>
    </w:p>
    <w:p w:rsidR="00E66BCA" w:rsidRDefault="00E66BCA" w:rsidP="00E66BCA">
      <w:pPr>
        <w:spacing w:line="240" w:lineRule="auto"/>
      </w:pPr>
      <w:r>
        <w:t xml:space="preserve">We now undertake a significant range of work from web accessibility audits, to professional training and consultancy. Our client list is similarly broad ranging from government agencies, to education institutions, private companies and not-for-profit organisations. The accessibility work feeds into practical case studies and timely information for professionals through our Access </w:t>
      </w:r>
      <w:proofErr w:type="spellStart"/>
      <w:proofErr w:type="gramStart"/>
      <w:r>
        <w:t>iQ</w:t>
      </w:r>
      <w:proofErr w:type="spellEnd"/>
      <w:proofErr w:type="gramEnd"/>
      <w:r>
        <w:t xml:space="preserve"> website and guides. </w:t>
      </w:r>
    </w:p>
    <w:p w:rsidR="00E66BCA" w:rsidRDefault="00E66BCA" w:rsidP="00E66BCA">
      <w:pPr>
        <w:spacing w:line="240" w:lineRule="auto"/>
      </w:pPr>
      <w:r>
        <w:t xml:space="preserve">One proven strategy for expanding our reach has been the formation of alliances and we formalised a major alliance with fellow not-for-profit Australian Network on Disability. It is a member based organisation helping people with disabilities gain and stay in employment. We are partnering as the digital accessibility specialist. Our other partnerships include local government associations and industry bodies. </w:t>
      </w:r>
    </w:p>
    <w:p w:rsidR="00E66BCA" w:rsidRDefault="00E66BCA" w:rsidP="00E66BCA">
      <w:pPr>
        <w:spacing w:line="240" w:lineRule="auto"/>
      </w:pPr>
      <w:r>
        <w:t xml:space="preserve">The ever popular, Professional Certificate in Web Accessibility that we provide in partnership with University of South Australia, took a new direction with us delivering a face-to-face version in Saudi Arabia. </w:t>
      </w:r>
    </w:p>
    <w:p w:rsidR="00E66BCA" w:rsidRDefault="00E66BCA" w:rsidP="00E66BCA">
      <w:pPr>
        <w:pStyle w:val="Heading3"/>
        <w:tabs>
          <w:tab w:val="left" w:pos="4200"/>
        </w:tabs>
      </w:pPr>
      <w:r>
        <w:t>Administration and Finance</w:t>
      </w:r>
      <w:r>
        <w:tab/>
      </w:r>
    </w:p>
    <w:p w:rsidR="00E66BCA" w:rsidRDefault="00E66BCA" w:rsidP="00E66BCA">
      <w:pPr>
        <w:spacing w:line="240" w:lineRule="auto"/>
      </w:pPr>
      <w:r>
        <w:t>Our movement towards more consultancy and training work has helped mitigate some of the difficulties from a very volatile investment market. Clime continues to manage our investments and they perform better than the general market, but we clearly need to maintain our focus on generating more income.</w:t>
      </w:r>
    </w:p>
    <w:p w:rsidR="00E66BCA" w:rsidRDefault="00E66BCA" w:rsidP="00E66BCA">
      <w:pPr>
        <w:spacing w:line="240" w:lineRule="auto"/>
      </w:pPr>
      <w:r>
        <w:t>Part of this approach was tackled during a strategic planning session with staff in August 2014 refocus on priorities and help with our paid work. This process will take a couple of years to properly embed, but early signs are showing steady growth in income.</w:t>
      </w:r>
    </w:p>
    <w:p w:rsidR="00E66BCA" w:rsidRDefault="00E66BCA" w:rsidP="00E66BCA">
      <w:pPr>
        <w:pStyle w:val="Heading3"/>
      </w:pPr>
      <w:r>
        <w:t>Board and staffing</w:t>
      </w:r>
    </w:p>
    <w:p w:rsidR="00E66BCA" w:rsidRDefault="00E66BCA" w:rsidP="00E66BCA">
      <w:pPr>
        <w:spacing w:line="240" w:lineRule="auto"/>
      </w:pPr>
      <w:r>
        <w:t xml:space="preserve">We have restructured the organisation to better deliver the range of professional services. Long-standing staff member, Allayne Woodford, took up the newly created role of Accessibility Services Manager to coordinate those services. </w:t>
      </w:r>
    </w:p>
    <w:p w:rsidR="00E66BCA" w:rsidRDefault="00E66BCA" w:rsidP="00E66BCA">
      <w:pPr>
        <w:spacing w:line="240" w:lineRule="auto"/>
      </w:pPr>
      <w:r>
        <w:t xml:space="preserve">Finally, I must pay tribute to the Media Access Australia </w:t>
      </w:r>
      <w:proofErr w:type="gramStart"/>
      <w:r>
        <w:t>staff who are</w:t>
      </w:r>
      <w:proofErr w:type="gramEnd"/>
      <w:r>
        <w:t xml:space="preserve"> the most committed advocates and practitioners of practical accessibility. Their main motivation is a passionate desire to see the world become more accessible and all of the work that we undertake is dedicated to that end. </w:t>
      </w:r>
    </w:p>
    <w:p w:rsidR="00E66BCA" w:rsidRDefault="00E66BCA" w:rsidP="00E66BCA">
      <w:pPr>
        <w:pStyle w:val="Heading3"/>
      </w:pPr>
      <w:r>
        <w:t>Staff at 30 June 2015</w:t>
      </w:r>
    </w:p>
    <w:p w:rsidR="00E66BCA" w:rsidRDefault="00E66BCA" w:rsidP="00E66BCA">
      <w:pPr>
        <w:spacing w:line="240" w:lineRule="auto"/>
      </w:pPr>
      <w:r>
        <w:t>Adrian Redden, Allayne Woodford, Alex Varley, Angela Tragotsalos, Chris Mikul, Chris Pycroft, Dionne Mariz, Geoff Knight, Jennifer Vanek, Natalie Collins, Scott Hollier, Toni Simons</w:t>
      </w:r>
    </w:p>
    <w:p w:rsidR="003D2B72" w:rsidRDefault="003D2B72">
      <w:pPr>
        <w:spacing w:after="200"/>
        <w:rPr>
          <w:sz w:val="32"/>
          <w:szCs w:val="32"/>
        </w:rPr>
      </w:pPr>
      <w:r>
        <w:br w:type="page"/>
      </w:r>
    </w:p>
    <w:p w:rsidR="00E66BCA" w:rsidRDefault="00E66BCA" w:rsidP="00E66BCA">
      <w:pPr>
        <w:pStyle w:val="Heading3"/>
      </w:pPr>
      <w:r>
        <w:lastRenderedPageBreak/>
        <w:t>Staff who finished during the year</w:t>
      </w:r>
    </w:p>
    <w:p w:rsidR="00E66BCA" w:rsidRPr="00D44AFA" w:rsidRDefault="00E66BCA" w:rsidP="00E66BCA">
      <w:r>
        <w:t>Anne McGrath, Elisa Bland, Tim Lohman, Stephen Muszkat, Amajjika Kumara</w:t>
      </w:r>
    </w:p>
    <w:p w:rsidR="00E66BCA" w:rsidRDefault="00E66BCA" w:rsidP="00E66BCA">
      <w:r>
        <w:rPr>
          <w:noProof/>
          <w:lang w:eastAsia="en-AU"/>
        </w:rPr>
        <w:drawing>
          <wp:inline distT="0" distB="0" distL="0" distR="0">
            <wp:extent cx="1519369" cy="4766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 Varley digital signature (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9541" cy="476709"/>
                    </a:xfrm>
                    <a:prstGeom prst="rect">
                      <a:avLst/>
                    </a:prstGeom>
                  </pic:spPr>
                </pic:pic>
              </a:graphicData>
            </a:graphic>
          </wp:inline>
        </w:drawing>
      </w:r>
    </w:p>
    <w:p w:rsidR="00D2400B" w:rsidRPr="001F3EA2" w:rsidRDefault="00D2400B" w:rsidP="00BB08CF">
      <w:pPr>
        <w:spacing w:after="120"/>
        <w:sectPr w:rsidR="00D2400B" w:rsidRPr="001F3EA2" w:rsidSect="003D2B72">
          <w:footerReference w:type="default" r:id="rId19"/>
          <w:pgSz w:w="11904" w:h="16836"/>
          <w:pgMar w:top="1440" w:right="1272" w:bottom="1440" w:left="1440" w:header="720" w:footer="0" w:gutter="0"/>
          <w:pgNumType w:start="3"/>
          <w:cols w:space="720"/>
          <w:noEndnote/>
          <w:docGrid w:linePitch="299"/>
        </w:sectPr>
      </w:pPr>
      <w:r w:rsidRPr="00E66BCA">
        <w:t>Ale</w:t>
      </w:r>
      <w:r w:rsidR="00BE7EB4" w:rsidRPr="00E66BCA">
        <w:t>x Varley</w:t>
      </w:r>
      <w:r w:rsidR="00BE7EB4" w:rsidRPr="00E66BCA">
        <w:br/>
      </w:r>
      <w:r w:rsidR="00BE7EB4" w:rsidRPr="00E66BCA">
        <w:rPr>
          <w:b/>
        </w:rPr>
        <w:t>CHIEF EXECUTIVE OFFICER</w:t>
      </w:r>
    </w:p>
    <w:p w:rsidR="00BE7EB4" w:rsidRPr="004B2B8B" w:rsidRDefault="00BE7EB4" w:rsidP="00134384">
      <w:pPr>
        <w:pStyle w:val="Heading1"/>
      </w:pPr>
      <w:bookmarkStart w:id="2" w:name="_Toc402184218"/>
      <w:r w:rsidRPr="004B2B8B">
        <w:lastRenderedPageBreak/>
        <w:t>Directors’ Report</w:t>
      </w:r>
      <w:bookmarkEnd w:id="2"/>
    </w:p>
    <w:p w:rsidR="00BE7EB4" w:rsidRPr="004B2B8B" w:rsidRDefault="009348B8" w:rsidP="00BE7EB4">
      <w:pPr>
        <w:rPr>
          <w:b/>
          <w:sz w:val="24"/>
          <w:szCs w:val="24"/>
        </w:rPr>
      </w:pPr>
      <w:r w:rsidRPr="004B2B8B">
        <w:rPr>
          <w:b/>
        </w:rPr>
        <w:t xml:space="preserve">For the Year Ended 30 June </w:t>
      </w:r>
      <w:r w:rsidR="00985FF4" w:rsidRPr="004B2B8B">
        <w:rPr>
          <w:b/>
        </w:rPr>
        <w:t>2015</w:t>
      </w:r>
    </w:p>
    <w:p w:rsidR="00D2400B" w:rsidRPr="004B2B8B" w:rsidRDefault="00D2400B" w:rsidP="004B2B8B">
      <w:pPr>
        <w:pStyle w:val="Heading2"/>
        <w:rPr>
          <w:rStyle w:val="Emphasis"/>
          <w:i w:val="0"/>
        </w:rPr>
      </w:pPr>
      <w:r w:rsidRPr="004B2B8B">
        <w:rPr>
          <w:rStyle w:val="Emphasis"/>
          <w:i w:val="0"/>
        </w:rPr>
        <w:t xml:space="preserve">Information about the directors </w:t>
      </w:r>
    </w:p>
    <w:p w:rsidR="00D2400B" w:rsidRPr="004B2B8B" w:rsidRDefault="00D2400B" w:rsidP="00BE7EB4">
      <w:r w:rsidRPr="004B2B8B">
        <w:t>The names of the directors in office at any time during, or since the end of the year are:</w:t>
      </w:r>
    </w:p>
    <w:tbl>
      <w:tblPr>
        <w:tblStyle w:val="TableGrid2"/>
        <w:tblW w:w="9983" w:type="dxa"/>
        <w:tblLook w:val="04A0" w:firstRow="1" w:lastRow="0" w:firstColumn="1" w:lastColumn="0" w:noHBand="0" w:noVBand="1"/>
        <w:tblDescription w:val="directors' details"/>
      </w:tblPr>
      <w:tblGrid>
        <w:gridCol w:w="1951"/>
        <w:gridCol w:w="2268"/>
        <w:gridCol w:w="3934"/>
        <w:gridCol w:w="1830"/>
      </w:tblGrid>
      <w:tr w:rsidR="004B2B8B" w:rsidRPr="004B2B8B" w:rsidTr="004B2B8B">
        <w:trPr>
          <w:cantSplit/>
          <w:tblHeader/>
        </w:trPr>
        <w:tc>
          <w:tcPr>
            <w:tcW w:w="1951" w:type="dxa"/>
          </w:tcPr>
          <w:p w:rsidR="004B2B8B" w:rsidRPr="004B2B8B" w:rsidRDefault="004B2B8B" w:rsidP="004B2B8B">
            <w:pPr>
              <w:spacing w:line="276" w:lineRule="auto"/>
              <w:rPr>
                <w:b/>
                <w:szCs w:val="22"/>
              </w:rPr>
            </w:pPr>
            <w:r w:rsidRPr="004B2B8B">
              <w:rPr>
                <w:b/>
                <w:szCs w:val="22"/>
              </w:rPr>
              <w:t>Name</w:t>
            </w:r>
          </w:p>
        </w:tc>
        <w:tc>
          <w:tcPr>
            <w:tcW w:w="2268" w:type="dxa"/>
          </w:tcPr>
          <w:p w:rsidR="004B2B8B" w:rsidRPr="004B2B8B" w:rsidRDefault="004B2B8B" w:rsidP="004B2B8B">
            <w:pPr>
              <w:spacing w:line="276" w:lineRule="auto"/>
              <w:rPr>
                <w:b/>
                <w:szCs w:val="22"/>
              </w:rPr>
            </w:pPr>
            <w:r w:rsidRPr="004B2B8B">
              <w:rPr>
                <w:b/>
                <w:szCs w:val="22"/>
              </w:rPr>
              <w:t>Qualifications</w:t>
            </w:r>
          </w:p>
        </w:tc>
        <w:tc>
          <w:tcPr>
            <w:tcW w:w="3934" w:type="dxa"/>
          </w:tcPr>
          <w:p w:rsidR="004B2B8B" w:rsidRPr="004B2B8B" w:rsidRDefault="004B2B8B" w:rsidP="004B2B8B">
            <w:pPr>
              <w:spacing w:line="276" w:lineRule="auto"/>
              <w:rPr>
                <w:b/>
                <w:szCs w:val="22"/>
              </w:rPr>
            </w:pPr>
            <w:r w:rsidRPr="004B2B8B">
              <w:rPr>
                <w:b/>
                <w:szCs w:val="22"/>
              </w:rPr>
              <w:t>Directorships and other experience</w:t>
            </w:r>
          </w:p>
        </w:tc>
        <w:tc>
          <w:tcPr>
            <w:tcW w:w="1830" w:type="dxa"/>
          </w:tcPr>
          <w:p w:rsidR="004B2B8B" w:rsidRPr="004B2B8B" w:rsidRDefault="004B2B8B" w:rsidP="004B2B8B">
            <w:pPr>
              <w:spacing w:line="276" w:lineRule="auto"/>
              <w:rPr>
                <w:b/>
                <w:szCs w:val="22"/>
              </w:rPr>
            </w:pPr>
            <w:r w:rsidRPr="004B2B8B">
              <w:rPr>
                <w:b/>
                <w:szCs w:val="22"/>
              </w:rPr>
              <w:t>Special responsibilities</w:t>
            </w:r>
          </w:p>
        </w:tc>
      </w:tr>
      <w:tr w:rsidR="004B2B8B" w:rsidRPr="004B2B8B" w:rsidTr="004B2B8B">
        <w:trPr>
          <w:cantSplit/>
        </w:trPr>
        <w:tc>
          <w:tcPr>
            <w:tcW w:w="1951" w:type="dxa"/>
          </w:tcPr>
          <w:p w:rsidR="004B2B8B" w:rsidRPr="004B2B8B" w:rsidRDefault="004B2B8B" w:rsidP="004B2B8B">
            <w:pPr>
              <w:spacing w:line="276" w:lineRule="auto"/>
              <w:rPr>
                <w:szCs w:val="22"/>
              </w:rPr>
            </w:pPr>
            <w:r w:rsidRPr="004B2B8B">
              <w:rPr>
                <w:szCs w:val="22"/>
              </w:rPr>
              <w:t>Helen Crossing. Director since 1997</w:t>
            </w:r>
          </w:p>
        </w:tc>
        <w:tc>
          <w:tcPr>
            <w:tcW w:w="2268" w:type="dxa"/>
          </w:tcPr>
          <w:p w:rsidR="004B2B8B" w:rsidRPr="004B2B8B" w:rsidRDefault="004B2B8B" w:rsidP="004B2B8B">
            <w:pPr>
              <w:spacing w:line="276" w:lineRule="auto"/>
              <w:rPr>
                <w:szCs w:val="22"/>
              </w:rPr>
            </w:pPr>
            <w:r w:rsidRPr="004B2B8B">
              <w:rPr>
                <w:szCs w:val="22"/>
              </w:rPr>
              <w:t xml:space="preserve">B. Sc. (ANU), Dip. Ed. (CCAE), M. Ed. (CCAE), Registered Psychologist </w:t>
            </w:r>
          </w:p>
        </w:tc>
        <w:tc>
          <w:tcPr>
            <w:tcW w:w="3934" w:type="dxa"/>
          </w:tcPr>
          <w:p w:rsidR="004B2B8B" w:rsidRPr="004B2B8B" w:rsidRDefault="004B2B8B" w:rsidP="004B2B8B">
            <w:pPr>
              <w:spacing w:line="276" w:lineRule="auto"/>
              <w:rPr>
                <w:szCs w:val="22"/>
              </w:rPr>
            </w:pPr>
            <w:r w:rsidRPr="004B2B8B">
              <w:rPr>
                <w:szCs w:val="22"/>
              </w:rPr>
              <w:t>Member of Australian Psychological Society</w:t>
            </w:r>
          </w:p>
          <w:p w:rsidR="004B2B8B" w:rsidRPr="004B2B8B" w:rsidRDefault="004B2B8B" w:rsidP="004B2B8B">
            <w:pPr>
              <w:spacing w:line="276" w:lineRule="auto"/>
              <w:rPr>
                <w:szCs w:val="22"/>
              </w:rPr>
            </w:pPr>
            <w:r w:rsidRPr="004B2B8B">
              <w:rPr>
                <w:szCs w:val="22"/>
              </w:rPr>
              <w:t xml:space="preserve">Consulting Psychologist </w:t>
            </w:r>
          </w:p>
          <w:p w:rsidR="004B2B8B" w:rsidRPr="004B2B8B" w:rsidRDefault="004B2B8B" w:rsidP="004B2B8B">
            <w:pPr>
              <w:spacing w:line="276" w:lineRule="auto"/>
              <w:rPr>
                <w:szCs w:val="22"/>
              </w:rPr>
            </w:pPr>
            <w:r w:rsidRPr="004B2B8B">
              <w:rPr>
                <w:szCs w:val="22"/>
              </w:rPr>
              <w:t>Director Macleay Regis</w:t>
            </w:r>
          </w:p>
        </w:tc>
        <w:tc>
          <w:tcPr>
            <w:tcW w:w="1830" w:type="dxa"/>
          </w:tcPr>
          <w:p w:rsidR="004B2B8B" w:rsidRPr="004B2B8B" w:rsidRDefault="004B2B8B" w:rsidP="004B2B8B">
            <w:pPr>
              <w:spacing w:line="276" w:lineRule="auto"/>
              <w:rPr>
                <w:szCs w:val="22"/>
              </w:rPr>
            </w:pPr>
          </w:p>
        </w:tc>
      </w:tr>
      <w:tr w:rsidR="004B2B8B" w:rsidRPr="004B2B8B" w:rsidTr="004B2B8B">
        <w:trPr>
          <w:cantSplit/>
        </w:trPr>
        <w:tc>
          <w:tcPr>
            <w:tcW w:w="1951" w:type="dxa"/>
          </w:tcPr>
          <w:p w:rsidR="004B2B8B" w:rsidRPr="004B2B8B" w:rsidRDefault="004B2B8B" w:rsidP="004B2B8B">
            <w:pPr>
              <w:spacing w:line="276" w:lineRule="auto"/>
              <w:rPr>
                <w:szCs w:val="22"/>
              </w:rPr>
            </w:pPr>
            <w:r w:rsidRPr="004B2B8B">
              <w:rPr>
                <w:szCs w:val="22"/>
              </w:rPr>
              <w:t>Ian Roache. Director since 2001</w:t>
            </w:r>
          </w:p>
        </w:tc>
        <w:tc>
          <w:tcPr>
            <w:tcW w:w="2268" w:type="dxa"/>
          </w:tcPr>
          <w:p w:rsidR="004B2B8B" w:rsidRPr="004B2B8B" w:rsidRDefault="004B2B8B" w:rsidP="004B2B8B">
            <w:pPr>
              <w:spacing w:line="276" w:lineRule="auto"/>
              <w:rPr>
                <w:szCs w:val="22"/>
              </w:rPr>
            </w:pPr>
            <w:r w:rsidRPr="004B2B8B">
              <w:rPr>
                <w:szCs w:val="22"/>
              </w:rPr>
              <w:t>Not available</w:t>
            </w:r>
          </w:p>
        </w:tc>
        <w:tc>
          <w:tcPr>
            <w:tcW w:w="3934" w:type="dxa"/>
          </w:tcPr>
          <w:p w:rsidR="004B2B8B" w:rsidRPr="004B2B8B" w:rsidRDefault="004B2B8B" w:rsidP="004B2B8B">
            <w:pPr>
              <w:spacing w:line="276" w:lineRule="auto"/>
              <w:rPr>
                <w:szCs w:val="22"/>
              </w:rPr>
            </w:pPr>
            <w:r w:rsidRPr="004B2B8B">
              <w:rPr>
                <w:szCs w:val="22"/>
              </w:rPr>
              <w:t>Director of Lodestone Direction Pty Limited and Industry Capability Network (NSW) Limited</w:t>
            </w:r>
          </w:p>
        </w:tc>
        <w:tc>
          <w:tcPr>
            <w:tcW w:w="1830" w:type="dxa"/>
          </w:tcPr>
          <w:p w:rsidR="004B2B8B" w:rsidRPr="004B2B8B" w:rsidRDefault="004B2B8B" w:rsidP="004B2B8B">
            <w:pPr>
              <w:spacing w:line="276" w:lineRule="auto"/>
              <w:rPr>
                <w:szCs w:val="22"/>
              </w:rPr>
            </w:pPr>
            <w:r w:rsidRPr="004B2B8B">
              <w:rPr>
                <w:szCs w:val="22"/>
              </w:rPr>
              <w:t>Chairman and Finance Committee</w:t>
            </w:r>
          </w:p>
        </w:tc>
      </w:tr>
      <w:tr w:rsidR="004B2B8B" w:rsidRPr="004B2B8B" w:rsidTr="004B2B8B">
        <w:trPr>
          <w:cantSplit/>
        </w:trPr>
        <w:tc>
          <w:tcPr>
            <w:tcW w:w="1951" w:type="dxa"/>
          </w:tcPr>
          <w:p w:rsidR="004B2B8B" w:rsidRPr="004B2B8B" w:rsidRDefault="004B2B8B" w:rsidP="004B2B8B">
            <w:pPr>
              <w:spacing w:line="276" w:lineRule="auto"/>
              <w:rPr>
                <w:szCs w:val="22"/>
              </w:rPr>
            </w:pPr>
            <w:r w:rsidRPr="004B2B8B">
              <w:rPr>
                <w:szCs w:val="22"/>
              </w:rPr>
              <w:t>John Losco. Director since 1994</w:t>
            </w:r>
          </w:p>
        </w:tc>
        <w:tc>
          <w:tcPr>
            <w:tcW w:w="2268" w:type="dxa"/>
          </w:tcPr>
          <w:p w:rsidR="004B2B8B" w:rsidRPr="004B2B8B" w:rsidRDefault="004B2B8B" w:rsidP="004B2B8B">
            <w:pPr>
              <w:spacing w:line="276" w:lineRule="auto"/>
              <w:rPr>
                <w:szCs w:val="22"/>
              </w:rPr>
            </w:pPr>
            <w:r w:rsidRPr="004B2B8B">
              <w:rPr>
                <w:szCs w:val="22"/>
              </w:rPr>
              <w:t>B.Sc. B.EE. (Hons) (Sydney University), M.B.A. (University of NSW)</w:t>
            </w:r>
          </w:p>
        </w:tc>
        <w:tc>
          <w:tcPr>
            <w:tcW w:w="3934" w:type="dxa"/>
          </w:tcPr>
          <w:p w:rsidR="004B2B8B" w:rsidRPr="004B2B8B" w:rsidRDefault="004B2B8B" w:rsidP="004B2B8B">
            <w:pPr>
              <w:spacing w:line="276" w:lineRule="auto"/>
              <w:rPr>
                <w:szCs w:val="22"/>
              </w:rPr>
            </w:pPr>
            <w:r w:rsidRPr="004B2B8B">
              <w:rPr>
                <w:szCs w:val="22"/>
              </w:rPr>
              <w:t xml:space="preserve">Managing Director, Corporate and Government Telstra, </w:t>
            </w:r>
          </w:p>
          <w:p w:rsidR="004B2B8B" w:rsidRPr="004B2B8B" w:rsidRDefault="004B2B8B" w:rsidP="004B2B8B">
            <w:pPr>
              <w:spacing w:line="276" w:lineRule="auto"/>
              <w:rPr>
                <w:szCs w:val="22"/>
              </w:rPr>
            </w:pPr>
            <w:r w:rsidRPr="004B2B8B">
              <w:rPr>
                <w:szCs w:val="22"/>
              </w:rPr>
              <w:t>Director Strategy and Pricing Telstra,</w:t>
            </w:r>
          </w:p>
          <w:p w:rsidR="004B2B8B" w:rsidRPr="004B2B8B" w:rsidRDefault="004B2B8B" w:rsidP="004B2B8B">
            <w:pPr>
              <w:spacing w:line="276" w:lineRule="auto"/>
              <w:rPr>
                <w:szCs w:val="22"/>
              </w:rPr>
            </w:pPr>
            <w:r w:rsidRPr="004B2B8B">
              <w:rPr>
                <w:szCs w:val="22"/>
              </w:rPr>
              <w:t xml:space="preserve">CEO </w:t>
            </w:r>
            <w:proofErr w:type="spellStart"/>
            <w:r w:rsidRPr="004B2B8B">
              <w:rPr>
                <w:szCs w:val="22"/>
              </w:rPr>
              <w:t>Nextgen</w:t>
            </w:r>
            <w:proofErr w:type="spellEnd"/>
            <w:r w:rsidRPr="004B2B8B">
              <w:rPr>
                <w:szCs w:val="22"/>
              </w:rPr>
              <w:t xml:space="preserve"> networks</w:t>
            </w:r>
          </w:p>
        </w:tc>
        <w:tc>
          <w:tcPr>
            <w:tcW w:w="1830" w:type="dxa"/>
          </w:tcPr>
          <w:p w:rsidR="004B2B8B" w:rsidRPr="004B2B8B" w:rsidRDefault="004B2B8B" w:rsidP="004B2B8B">
            <w:pPr>
              <w:spacing w:line="276" w:lineRule="auto"/>
              <w:rPr>
                <w:szCs w:val="22"/>
              </w:rPr>
            </w:pPr>
          </w:p>
        </w:tc>
      </w:tr>
      <w:tr w:rsidR="004B2B8B" w:rsidRPr="004B2B8B" w:rsidTr="004B2B8B">
        <w:trPr>
          <w:cantSplit/>
        </w:trPr>
        <w:tc>
          <w:tcPr>
            <w:tcW w:w="1951" w:type="dxa"/>
          </w:tcPr>
          <w:p w:rsidR="004B2B8B" w:rsidRPr="004B2B8B" w:rsidRDefault="004B2B8B" w:rsidP="004B2B8B">
            <w:pPr>
              <w:spacing w:line="276" w:lineRule="auto"/>
              <w:rPr>
                <w:szCs w:val="22"/>
              </w:rPr>
            </w:pPr>
            <w:r w:rsidRPr="004B2B8B">
              <w:rPr>
                <w:szCs w:val="22"/>
              </w:rPr>
              <w:t xml:space="preserve">Victoria M. Rubensohn </w:t>
            </w:r>
            <w:proofErr w:type="gramStart"/>
            <w:r w:rsidRPr="004B2B8B">
              <w:rPr>
                <w:szCs w:val="22"/>
              </w:rPr>
              <w:t>AM</w:t>
            </w:r>
            <w:proofErr w:type="gramEnd"/>
            <w:r w:rsidRPr="004B2B8B">
              <w:rPr>
                <w:szCs w:val="22"/>
              </w:rPr>
              <w:t>. Director since 1997</w:t>
            </w:r>
          </w:p>
        </w:tc>
        <w:tc>
          <w:tcPr>
            <w:tcW w:w="2268" w:type="dxa"/>
          </w:tcPr>
          <w:p w:rsidR="004B2B8B" w:rsidRPr="004B2B8B" w:rsidRDefault="004B2B8B" w:rsidP="004B2B8B">
            <w:pPr>
              <w:spacing w:line="276" w:lineRule="auto"/>
              <w:rPr>
                <w:szCs w:val="22"/>
              </w:rPr>
            </w:pPr>
            <w:r w:rsidRPr="004B2B8B">
              <w:rPr>
                <w:szCs w:val="22"/>
              </w:rPr>
              <w:t>B.A, M.A (Sydney University), LLB (University of NSW), Master of Human Rights (Sydney University)</w:t>
            </w:r>
          </w:p>
        </w:tc>
        <w:tc>
          <w:tcPr>
            <w:tcW w:w="3934" w:type="dxa"/>
          </w:tcPr>
          <w:p w:rsidR="004B2B8B" w:rsidRPr="004B2B8B" w:rsidRDefault="004B2B8B" w:rsidP="004B2B8B">
            <w:pPr>
              <w:spacing w:line="276" w:lineRule="auto"/>
              <w:rPr>
                <w:szCs w:val="22"/>
              </w:rPr>
            </w:pPr>
            <w:r w:rsidRPr="004B2B8B">
              <w:rPr>
                <w:szCs w:val="22"/>
              </w:rPr>
              <w:t xml:space="preserve">International Communications Consultant. Directorships: ACCAN, Communications Compliance Ltd, Communications Law Centre. </w:t>
            </w:r>
          </w:p>
          <w:p w:rsidR="004B2B8B" w:rsidRPr="004B2B8B" w:rsidRDefault="004B2B8B" w:rsidP="004B2B8B">
            <w:pPr>
              <w:spacing w:line="276" w:lineRule="auto"/>
              <w:rPr>
                <w:szCs w:val="22"/>
              </w:rPr>
            </w:pPr>
            <w:r w:rsidRPr="004B2B8B">
              <w:rPr>
                <w:szCs w:val="22"/>
              </w:rPr>
              <w:t>Independent Reviewer, Advertising Standards Bureau; Code Authority Member, ADMA (</w:t>
            </w:r>
            <w:proofErr w:type="spellStart"/>
            <w:r w:rsidRPr="004B2B8B">
              <w:rPr>
                <w:szCs w:val="22"/>
              </w:rPr>
              <w:t>Assoc</w:t>
            </w:r>
            <w:proofErr w:type="spellEnd"/>
            <w:r w:rsidRPr="004B2B8B">
              <w:rPr>
                <w:szCs w:val="22"/>
              </w:rPr>
              <w:t xml:space="preserve"> for Data-driven Marketing and Advertising).</w:t>
            </w:r>
          </w:p>
          <w:p w:rsidR="004B2B8B" w:rsidRPr="004B2B8B" w:rsidRDefault="004B2B8B" w:rsidP="004B2B8B">
            <w:pPr>
              <w:spacing w:line="276" w:lineRule="auto"/>
              <w:rPr>
                <w:szCs w:val="22"/>
              </w:rPr>
            </w:pPr>
            <w:r w:rsidRPr="004B2B8B">
              <w:rPr>
                <w:szCs w:val="22"/>
              </w:rPr>
              <w:t>Previously Convenor, Classification Review Board, Member of Standing Advisory Committee of ACCAN, Chairman Telephone of Information Services Standards Council, </w:t>
            </w:r>
            <w:r w:rsidRPr="004B2B8B">
              <w:rPr>
                <w:szCs w:val="22"/>
              </w:rPr>
              <w:br/>
              <w:t>President and Director of Communications and Media Law Association, Director and Secretary of Fred Hollows Foundation.</w:t>
            </w:r>
          </w:p>
        </w:tc>
        <w:tc>
          <w:tcPr>
            <w:tcW w:w="1830" w:type="dxa"/>
          </w:tcPr>
          <w:p w:rsidR="004B2B8B" w:rsidRPr="004B2B8B" w:rsidRDefault="004B2B8B" w:rsidP="004B2B8B">
            <w:pPr>
              <w:spacing w:line="276" w:lineRule="auto"/>
              <w:rPr>
                <w:szCs w:val="22"/>
              </w:rPr>
            </w:pPr>
            <w:r w:rsidRPr="004B2B8B">
              <w:rPr>
                <w:szCs w:val="22"/>
              </w:rPr>
              <w:t>Company secretary</w:t>
            </w:r>
          </w:p>
        </w:tc>
      </w:tr>
      <w:tr w:rsidR="004B2B8B" w:rsidRPr="004B2B8B" w:rsidTr="004B2B8B">
        <w:trPr>
          <w:cantSplit/>
        </w:trPr>
        <w:tc>
          <w:tcPr>
            <w:tcW w:w="1951" w:type="dxa"/>
          </w:tcPr>
          <w:p w:rsidR="004B2B8B" w:rsidRPr="004B2B8B" w:rsidRDefault="004B2B8B" w:rsidP="004B2B8B">
            <w:pPr>
              <w:spacing w:line="276" w:lineRule="auto"/>
              <w:rPr>
                <w:szCs w:val="22"/>
              </w:rPr>
            </w:pPr>
            <w:r w:rsidRPr="004B2B8B">
              <w:rPr>
                <w:szCs w:val="22"/>
              </w:rPr>
              <w:lastRenderedPageBreak/>
              <w:t>Stephen H Wall. Director since 2006</w:t>
            </w:r>
          </w:p>
        </w:tc>
        <w:tc>
          <w:tcPr>
            <w:tcW w:w="2268" w:type="dxa"/>
          </w:tcPr>
          <w:p w:rsidR="004B2B8B" w:rsidRPr="004B2B8B" w:rsidRDefault="004B2B8B" w:rsidP="004B2B8B">
            <w:pPr>
              <w:spacing w:line="276" w:lineRule="auto"/>
              <w:rPr>
                <w:szCs w:val="22"/>
              </w:rPr>
            </w:pPr>
            <w:proofErr w:type="spellStart"/>
            <w:r w:rsidRPr="004B2B8B">
              <w:rPr>
                <w:szCs w:val="22"/>
              </w:rPr>
              <w:t>B.Ec</w:t>
            </w:r>
            <w:proofErr w:type="spellEnd"/>
            <w:r w:rsidRPr="004B2B8B">
              <w:rPr>
                <w:szCs w:val="22"/>
              </w:rPr>
              <w:t>. (University of Sydney)</w:t>
            </w:r>
          </w:p>
        </w:tc>
        <w:tc>
          <w:tcPr>
            <w:tcW w:w="3934" w:type="dxa"/>
          </w:tcPr>
          <w:p w:rsidR="004B2B8B" w:rsidRPr="004B2B8B" w:rsidRDefault="004B2B8B" w:rsidP="004B2B8B">
            <w:pPr>
              <w:spacing w:line="276" w:lineRule="auto"/>
              <w:rPr>
                <w:szCs w:val="22"/>
              </w:rPr>
            </w:pPr>
            <w:r w:rsidRPr="004B2B8B">
              <w:rPr>
                <w:szCs w:val="22"/>
              </w:rPr>
              <w:t>Previously a director of the Australian Caption Centre 1994-2000. Experienced board member of public, private and not-for-profit companies.</w:t>
            </w:r>
          </w:p>
        </w:tc>
        <w:tc>
          <w:tcPr>
            <w:tcW w:w="1830" w:type="dxa"/>
          </w:tcPr>
          <w:p w:rsidR="004B2B8B" w:rsidRPr="004B2B8B" w:rsidRDefault="004B2B8B" w:rsidP="004B2B8B">
            <w:pPr>
              <w:spacing w:line="276" w:lineRule="auto"/>
              <w:rPr>
                <w:szCs w:val="22"/>
              </w:rPr>
            </w:pPr>
            <w:r w:rsidRPr="004B2B8B">
              <w:rPr>
                <w:szCs w:val="22"/>
              </w:rPr>
              <w:t>Finance Committee</w:t>
            </w:r>
          </w:p>
        </w:tc>
      </w:tr>
      <w:tr w:rsidR="004B2B8B" w:rsidRPr="004B2B8B" w:rsidTr="004B2B8B">
        <w:trPr>
          <w:cantSplit/>
        </w:trPr>
        <w:tc>
          <w:tcPr>
            <w:tcW w:w="1951" w:type="dxa"/>
          </w:tcPr>
          <w:p w:rsidR="004B2B8B" w:rsidRPr="004B2B8B" w:rsidRDefault="004B2B8B" w:rsidP="004B2B8B">
            <w:pPr>
              <w:spacing w:line="276" w:lineRule="auto"/>
              <w:rPr>
                <w:szCs w:val="22"/>
              </w:rPr>
            </w:pPr>
            <w:r w:rsidRPr="004B2B8B">
              <w:rPr>
                <w:szCs w:val="22"/>
              </w:rPr>
              <w:t>Darren David Fittler. Director since 2012</w:t>
            </w:r>
          </w:p>
        </w:tc>
        <w:tc>
          <w:tcPr>
            <w:tcW w:w="2268" w:type="dxa"/>
          </w:tcPr>
          <w:p w:rsidR="004B2B8B" w:rsidRPr="004B2B8B" w:rsidRDefault="004B2B8B" w:rsidP="004B2B8B">
            <w:pPr>
              <w:spacing w:line="276" w:lineRule="auto"/>
              <w:rPr>
                <w:szCs w:val="22"/>
              </w:rPr>
            </w:pPr>
            <w:r w:rsidRPr="004B2B8B">
              <w:rPr>
                <w:szCs w:val="22"/>
              </w:rPr>
              <w:t>Bachelor of Law (LLB), Bachelor of Social Work (BSW)</w:t>
            </w:r>
          </w:p>
          <w:p w:rsidR="004B2B8B" w:rsidRPr="004B2B8B" w:rsidRDefault="004B2B8B" w:rsidP="004B2B8B">
            <w:pPr>
              <w:spacing w:line="276" w:lineRule="auto"/>
              <w:rPr>
                <w:szCs w:val="22"/>
              </w:rPr>
            </w:pPr>
          </w:p>
        </w:tc>
        <w:tc>
          <w:tcPr>
            <w:tcW w:w="3934" w:type="dxa"/>
          </w:tcPr>
          <w:p w:rsidR="004B2B8B" w:rsidRPr="004B2B8B" w:rsidRDefault="004B2B8B" w:rsidP="004B2B8B">
            <w:pPr>
              <w:spacing w:line="276" w:lineRule="auto"/>
              <w:rPr>
                <w:szCs w:val="22"/>
              </w:rPr>
            </w:pPr>
            <w:r w:rsidRPr="004B2B8B">
              <w:rPr>
                <w:szCs w:val="22"/>
              </w:rPr>
              <w:t>Practising lawyer and member of the Law Society of NSW. Knowledge of charity and not-for-profit law. Member of the Australian Charity Law Association. Brings a blindness perspective to the Board.</w:t>
            </w:r>
          </w:p>
        </w:tc>
        <w:tc>
          <w:tcPr>
            <w:tcW w:w="1830" w:type="dxa"/>
          </w:tcPr>
          <w:p w:rsidR="004B2B8B" w:rsidRPr="004B2B8B" w:rsidRDefault="004B2B8B" w:rsidP="004B2B8B">
            <w:pPr>
              <w:spacing w:line="276" w:lineRule="auto"/>
              <w:rPr>
                <w:szCs w:val="22"/>
              </w:rPr>
            </w:pPr>
          </w:p>
        </w:tc>
      </w:tr>
      <w:tr w:rsidR="004B2B8B" w:rsidRPr="004B2B8B" w:rsidTr="004B2B8B">
        <w:trPr>
          <w:cantSplit/>
        </w:trPr>
        <w:tc>
          <w:tcPr>
            <w:tcW w:w="1951" w:type="dxa"/>
          </w:tcPr>
          <w:p w:rsidR="004B2B8B" w:rsidRPr="004B2B8B" w:rsidRDefault="004B2B8B" w:rsidP="004B2B8B">
            <w:pPr>
              <w:spacing w:line="276" w:lineRule="auto"/>
              <w:rPr>
                <w:szCs w:val="22"/>
              </w:rPr>
            </w:pPr>
            <w:r w:rsidRPr="004B2B8B">
              <w:rPr>
                <w:szCs w:val="22"/>
              </w:rPr>
              <w:t>William L Warner. Director since 2014</w:t>
            </w:r>
          </w:p>
        </w:tc>
        <w:tc>
          <w:tcPr>
            <w:tcW w:w="2268" w:type="dxa"/>
          </w:tcPr>
          <w:p w:rsidR="004B2B8B" w:rsidRPr="004B2B8B" w:rsidRDefault="004B2B8B" w:rsidP="004B2B8B">
            <w:pPr>
              <w:spacing w:line="276" w:lineRule="auto"/>
              <w:rPr>
                <w:szCs w:val="22"/>
              </w:rPr>
            </w:pPr>
            <w:proofErr w:type="spellStart"/>
            <w:r w:rsidRPr="004B2B8B">
              <w:rPr>
                <w:szCs w:val="22"/>
              </w:rPr>
              <w:t>M.Ed</w:t>
            </w:r>
            <w:proofErr w:type="spellEnd"/>
            <w:r w:rsidRPr="004B2B8B">
              <w:rPr>
                <w:szCs w:val="22"/>
              </w:rPr>
              <w:t xml:space="preserve"> (University of Technology, Sydney)</w:t>
            </w:r>
          </w:p>
          <w:p w:rsidR="004B2B8B" w:rsidRPr="004B2B8B" w:rsidRDefault="004B2B8B" w:rsidP="004B2B8B">
            <w:pPr>
              <w:spacing w:line="276" w:lineRule="auto"/>
              <w:rPr>
                <w:szCs w:val="22"/>
              </w:rPr>
            </w:pPr>
            <w:proofErr w:type="spellStart"/>
            <w:r w:rsidRPr="004B2B8B">
              <w:rPr>
                <w:szCs w:val="22"/>
              </w:rPr>
              <w:t>BEcon</w:t>
            </w:r>
            <w:proofErr w:type="spellEnd"/>
            <w:r w:rsidRPr="004B2B8B">
              <w:rPr>
                <w:szCs w:val="22"/>
              </w:rPr>
              <w:t xml:space="preserve"> (University of Queensland)</w:t>
            </w:r>
          </w:p>
        </w:tc>
        <w:tc>
          <w:tcPr>
            <w:tcW w:w="3934" w:type="dxa"/>
          </w:tcPr>
          <w:p w:rsidR="004B2B8B" w:rsidRPr="004B2B8B" w:rsidRDefault="004B2B8B" w:rsidP="004B2B8B">
            <w:pPr>
              <w:spacing w:line="276" w:lineRule="auto"/>
              <w:rPr>
                <w:szCs w:val="22"/>
              </w:rPr>
            </w:pPr>
            <w:r w:rsidRPr="004B2B8B">
              <w:rPr>
                <w:szCs w:val="22"/>
              </w:rPr>
              <w:t xml:space="preserve">Chair of Financial Education Professionals Pty Ltd; </w:t>
            </w:r>
          </w:p>
          <w:p w:rsidR="004B2B8B" w:rsidRPr="004B2B8B" w:rsidRDefault="004B2B8B" w:rsidP="004B2B8B">
            <w:pPr>
              <w:spacing w:line="276" w:lineRule="auto"/>
              <w:rPr>
                <w:szCs w:val="22"/>
              </w:rPr>
            </w:pPr>
            <w:r w:rsidRPr="004B2B8B">
              <w:rPr>
                <w:szCs w:val="22"/>
              </w:rPr>
              <w:t>Experienced board member of private and not-for-profit companies.</w:t>
            </w:r>
          </w:p>
          <w:p w:rsidR="004B2B8B" w:rsidRPr="004B2B8B" w:rsidRDefault="004B2B8B" w:rsidP="004B2B8B">
            <w:pPr>
              <w:spacing w:line="276" w:lineRule="auto"/>
              <w:rPr>
                <w:szCs w:val="22"/>
              </w:rPr>
            </w:pPr>
          </w:p>
        </w:tc>
        <w:tc>
          <w:tcPr>
            <w:tcW w:w="1830" w:type="dxa"/>
          </w:tcPr>
          <w:p w:rsidR="004B2B8B" w:rsidRPr="004B2B8B" w:rsidRDefault="004B2B8B" w:rsidP="004B2B8B">
            <w:pPr>
              <w:spacing w:line="276" w:lineRule="auto"/>
              <w:rPr>
                <w:szCs w:val="22"/>
              </w:rPr>
            </w:pPr>
          </w:p>
        </w:tc>
      </w:tr>
    </w:tbl>
    <w:p w:rsidR="00D2400B" w:rsidRPr="004B2B8B" w:rsidRDefault="00D2400B" w:rsidP="004B2B8B">
      <w:pPr>
        <w:pStyle w:val="Heading2"/>
      </w:pPr>
      <w:r w:rsidRPr="004B2B8B">
        <w:t>Meetings of Directors</w:t>
      </w:r>
    </w:p>
    <w:p w:rsidR="00D2400B" w:rsidRPr="004B2B8B" w:rsidRDefault="00D2400B" w:rsidP="00BE7EB4">
      <w:r w:rsidRPr="004B2B8B">
        <w:t>During the financial year</w:t>
      </w:r>
      <w:r w:rsidR="00A71D21" w:rsidRPr="004B2B8B">
        <w:t xml:space="preserve">, </w:t>
      </w:r>
      <w:r w:rsidR="004B2B8B">
        <w:t>13</w:t>
      </w:r>
      <w:r w:rsidRPr="004B2B8B">
        <w:t xml:space="preserve"> meetings of the directors were held.</w:t>
      </w:r>
      <w:r w:rsidR="00BE7EB4" w:rsidRPr="004B2B8B">
        <w:t xml:space="preserve"> </w:t>
      </w:r>
      <w:r w:rsidRPr="004B2B8B">
        <w:t xml:space="preserve">Attendees by each director were as follows: </w:t>
      </w:r>
    </w:p>
    <w:tbl>
      <w:tblPr>
        <w:tblStyle w:val="TableGrid2"/>
        <w:tblW w:w="0" w:type="auto"/>
        <w:tblLook w:val="04A0" w:firstRow="1" w:lastRow="0" w:firstColumn="1" w:lastColumn="0" w:noHBand="0" w:noVBand="1"/>
        <w:tblDescription w:val="directors' attendance at board meetings"/>
      </w:tblPr>
      <w:tblGrid>
        <w:gridCol w:w="3080"/>
        <w:gridCol w:w="3080"/>
        <w:gridCol w:w="3080"/>
      </w:tblGrid>
      <w:tr w:rsidR="004B2B8B" w:rsidRPr="00BE7EB4" w:rsidTr="0043400A">
        <w:trPr>
          <w:cantSplit/>
          <w:tblHeader/>
        </w:trPr>
        <w:tc>
          <w:tcPr>
            <w:tcW w:w="3080" w:type="dxa"/>
          </w:tcPr>
          <w:p w:rsidR="004B2B8B" w:rsidRPr="00BE7EB4" w:rsidRDefault="004B2B8B" w:rsidP="0043400A">
            <w:pPr>
              <w:rPr>
                <w:rStyle w:val="Strong"/>
                <w:rFonts w:cstheme="minorHAnsi"/>
              </w:rPr>
            </w:pPr>
            <w:r w:rsidRPr="00BE7EB4">
              <w:rPr>
                <w:rStyle w:val="Strong"/>
                <w:rFonts w:cstheme="minorHAnsi"/>
              </w:rPr>
              <w:t>Director</w:t>
            </w:r>
          </w:p>
        </w:tc>
        <w:tc>
          <w:tcPr>
            <w:tcW w:w="3080" w:type="dxa"/>
          </w:tcPr>
          <w:p w:rsidR="004B2B8B" w:rsidRPr="00BE7EB4" w:rsidRDefault="004B2B8B" w:rsidP="0043400A">
            <w:pPr>
              <w:rPr>
                <w:rStyle w:val="Strong"/>
                <w:rFonts w:cstheme="minorHAnsi"/>
              </w:rPr>
            </w:pPr>
            <w:r w:rsidRPr="00BE7EB4">
              <w:rPr>
                <w:rStyle w:val="Strong"/>
                <w:rFonts w:cstheme="minorHAnsi"/>
              </w:rPr>
              <w:t>Number eligible to attend</w:t>
            </w:r>
          </w:p>
        </w:tc>
        <w:tc>
          <w:tcPr>
            <w:tcW w:w="3080" w:type="dxa"/>
          </w:tcPr>
          <w:p w:rsidR="004B2B8B" w:rsidRPr="00BE7EB4" w:rsidRDefault="004B2B8B" w:rsidP="0043400A">
            <w:pPr>
              <w:rPr>
                <w:rStyle w:val="Strong"/>
                <w:rFonts w:cstheme="minorHAnsi"/>
              </w:rPr>
            </w:pPr>
            <w:r w:rsidRPr="00BE7EB4">
              <w:rPr>
                <w:rStyle w:val="Strong"/>
                <w:rFonts w:cstheme="minorHAnsi"/>
              </w:rPr>
              <w:t>Number attended</w:t>
            </w:r>
          </w:p>
        </w:tc>
      </w:tr>
      <w:tr w:rsidR="004B2B8B" w:rsidRPr="00BF6777" w:rsidTr="0043400A">
        <w:trPr>
          <w:cantSplit/>
        </w:trPr>
        <w:tc>
          <w:tcPr>
            <w:tcW w:w="3080" w:type="dxa"/>
          </w:tcPr>
          <w:p w:rsidR="004B2B8B" w:rsidRPr="00BF6777" w:rsidRDefault="004B2B8B" w:rsidP="0043400A">
            <w:r w:rsidRPr="00BF6777">
              <w:t>Victoria Mary Rubensohn</w:t>
            </w:r>
          </w:p>
        </w:tc>
        <w:tc>
          <w:tcPr>
            <w:tcW w:w="3080" w:type="dxa"/>
          </w:tcPr>
          <w:p w:rsidR="004B2B8B" w:rsidRPr="00BF6777" w:rsidRDefault="004B2B8B" w:rsidP="0043400A">
            <w:pPr>
              <w:jc w:val="center"/>
            </w:pPr>
            <w:r>
              <w:t>13</w:t>
            </w:r>
          </w:p>
        </w:tc>
        <w:tc>
          <w:tcPr>
            <w:tcW w:w="3080" w:type="dxa"/>
          </w:tcPr>
          <w:p w:rsidR="004B2B8B" w:rsidRPr="0037736F" w:rsidRDefault="004B2B8B" w:rsidP="0043400A">
            <w:pPr>
              <w:jc w:val="center"/>
              <w:rPr>
                <w:color w:val="FF0000"/>
              </w:rPr>
            </w:pPr>
            <w:r w:rsidRPr="008A746B">
              <w:t>11</w:t>
            </w:r>
          </w:p>
        </w:tc>
      </w:tr>
      <w:tr w:rsidR="004B2B8B" w:rsidRPr="00BF6777" w:rsidTr="0043400A">
        <w:trPr>
          <w:cantSplit/>
        </w:trPr>
        <w:tc>
          <w:tcPr>
            <w:tcW w:w="3080" w:type="dxa"/>
          </w:tcPr>
          <w:p w:rsidR="004B2B8B" w:rsidRPr="00BF6777" w:rsidRDefault="004B2B8B" w:rsidP="0043400A">
            <w:r w:rsidRPr="00BF6777">
              <w:t>Ian Roache</w:t>
            </w:r>
          </w:p>
        </w:tc>
        <w:tc>
          <w:tcPr>
            <w:tcW w:w="3080" w:type="dxa"/>
          </w:tcPr>
          <w:p w:rsidR="004B2B8B" w:rsidRPr="00BF6777" w:rsidRDefault="004B2B8B" w:rsidP="0043400A">
            <w:pPr>
              <w:jc w:val="center"/>
            </w:pPr>
            <w:r>
              <w:t>13</w:t>
            </w:r>
          </w:p>
        </w:tc>
        <w:tc>
          <w:tcPr>
            <w:tcW w:w="3080" w:type="dxa"/>
          </w:tcPr>
          <w:p w:rsidR="004B2B8B" w:rsidRPr="0037736F" w:rsidRDefault="004B2B8B" w:rsidP="0043400A">
            <w:pPr>
              <w:jc w:val="center"/>
              <w:rPr>
                <w:color w:val="FF0000"/>
              </w:rPr>
            </w:pPr>
            <w:r w:rsidRPr="008A746B">
              <w:t>9</w:t>
            </w:r>
          </w:p>
        </w:tc>
      </w:tr>
      <w:tr w:rsidR="004B2B8B" w:rsidRPr="00BF6777" w:rsidTr="0043400A">
        <w:trPr>
          <w:cantSplit/>
        </w:trPr>
        <w:tc>
          <w:tcPr>
            <w:tcW w:w="3080" w:type="dxa"/>
          </w:tcPr>
          <w:p w:rsidR="004B2B8B" w:rsidRPr="00BF6777" w:rsidRDefault="004B2B8B" w:rsidP="0043400A">
            <w:r w:rsidRPr="00BF6777">
              <w:t>John Losco</w:t>
            </w:r>
          </w:p>
        </w:tc>
        <w:tc>
          <w:tcPr>
            <w:tcW w:w="3080" w:type="dxa"/>
          </w:tcPr>
          <w:p w:rsidR="004B2B8B" w:rsidRPr="00BF6777" w:rsidRDefault="004B2B8B" w:rsidP="0043400A">
            <w:pPr>
              <w:jc w:val="center"/>
            </w:pPr>
            <w:r>
              <w:t>13</w:t>
            </w:r>
          </w:p>
        </w:tc>
        <w:tc>
          <w:tcPr>
            <w:tcW w:w="3080" w:type="dxa"/>
          </w:tcPr>
          <w:p w:rsidR="004B2B8B" w:rsidRPr="008A746B" w:rsidRDefault="004B2B8B" w:rsidP="0043400A">
            <w:pPr>
              <w:jc w:val="center"/>
            </w:pPr>
            <w:r>
              <w:t>11</w:t>
            </w:r>
          </w:p>
        </w:tc>
      </w:tr>
      <w:tr w:rsidR="004B2B8B" w:rsidRPr="00BF6777" w:rsidTr="0043400A">
        <w:trPr>
          <w:cantSplit/>
        </w:trPr>
        <w:tc>
          <w:tcPr>
            <w:tcW w:w="3080" w:type="dxa"/>
          </w:tcPr>
          <w:p w:rsidR="004B2B8B" w:rsidRPr="00BF6777" w:rsidRDefault="004B2B8B" w:rsidP="0043400A">
            <w:r w:rsidRPr="00BF6777">
              <w:t>Helen Crossing</w:t>
            </w:r>
          </w:p>
        </w:tc>
        <w:tc>
          <w:tcPr>
            <w:tcW w:w="3080" w:type="dxa"/>
          </w:tcPr>
          <w:p w:rsidR="004B2B8B" w:rsidRPr="00BF6777" w:rsidRDefault="004B2B8B" w:rsidP="0043400A">
            <w:pPr>
              <w:jc w:val="center"/>
            </w:pPr>
            <w:r>
              <w:t>13</w:t>
            </w:r>
          </w:p>
        </w:tc>
        <w:tc>
          <w:tcPr>
            <w:tcW w:w="3080" w:type="dxa"/>
          </w:tcPr>
          <w:p w:rsidR="004B2B8B" w:rsidRPr="0037736F" w:rsidRDefault="004B2B8B" w:rsidP="0043400A">
            <w:pPr>
              <w:jc w:val="center"/>
              <w:rPr>
                <w:color w:val="FF0000"/>
              </w:rPr>
            </w:pPr>
            <w:r w:rsidRPr="008A746B">
              <w:t>10</w:t>
            </w:r>
          </w:p>
        </w:tc>
      </w:tr>
      <w:tr w:rsidR="004B2B8B" w:rsidRPr="00767C7D" w:rsidTr="0043400A">
        <w:trPr>
          <w:cantSplit/>
        </w:trPr>
        <w:tc>
          <w:tcPr>
            <w:tcW w:w="3080" w:type="dxa"/>
          </w:tcPr>
          <w:p w:rsidR="004B2B8B" w:rsidRPr="00BF6777" w:rsidRDefault="004B2B8B" w:rsidP="0043400A">
            <w:r w:rsidRPr="00BF6777">
              <w:t>Stephen Harry Wall</w:t>
            </w:r>
          </w:p>
        </w:tc>
        <w:tc>
          <w:tcPr>
            <w:tcW w:w="3080" w:type="dxa"/>
          </w:tcPr>
          <w:p w:rsidR="004B2B8B" w:rsidRPr="00BF6777" w:rsidRDefault="004B2B8B" w:rsidP="0043400A">
            <w:pPr>
              <w:jc w:val="center"/>
            </w:pPr>
            <w:r>
              <w:t>13</w:t>
            </w:r>
          </w:p>
        </w:tc>
        <w:tc>
          <w:tcPr>
            <w:tcW w:w="3080" w:type="dxa"/>
          </w:tcPr>
          <w:p w:rsidR="004B2B8B" w:rsidRPr="0037736F" w:rsidRDefault="004B2B8B" w:rsidP="0043400A">
            <w:pPr>
              <w:jc w:val="center"/>
              <w:rPr>
                <w:color w:val="FF0000"/>
              </w:rPr>
            </w:pPr>
            <w:r w:rsidRPr="008A746B">
              <w:t>13</w:t>
            </w:r>
          </w:p>
        </w:tc>
      </w:tr>
      <w:tr w:rsidR="004B2B8B" w:rsidRPr="00767C7D" w:rsidTr="0043400A">
        <w:trPr>
          <w:cantSplit/>
        </w:trPr>
        <w:tc>
          <w:tcPr>
            <w:tcW w:w="3080" w:type="dxa"/>
          </w:tcPr>
          <w:p w:rsidR="004B2B8B" w:rsidRPr="00BF6777" w:rsidRDefault="004B2B8B" w:rsidP="0043400A">
            <w:r>
              <w:t>Darren David Fittler</w:t>
            </w:r>
          </w:p>
        </w:tc>
        <w:tc>
          <w:tcPr>
            <w:tcW w:w="3080" w:type="dxa"/>
          </w:tcPr>
          <w:p w:rsidR="004B2B8B" w:rsidRPr="00BF6777" w:rsidRDefault="004B2B8B" w:rsidP="0043400A">
            <w:pPr>
              <w:jc w:val="center"/>
            </w:pPr>
            <w:r>
              <w:t>13</w:t>
            </w:r>
          </w:p>
        </w:tc>
        <w:tc>
          <w:tcPr>
            <w:tcW w:w="3080" w:type="dxa"/>
          </w:tcPr>
          <w:p w:rsidR="004B2B8B" w:rsidRPr="0037736F" w:rsidRDefault="004B2B8B" w:rsidP="0043400A">
            <w:pPr>
              <w:jc w:val="center"/>
              <w:rPr>
                <w:color w:val="FF0000"/>
              </w:rPr>
            </w:pPr>
            <w:r w:rsidRPr="008A746B">
              <w:t>10</w:t>
            </w:r>
          </w:p>
        </w:tc>
      </w:tr>
      <w:tr w:rsidR="004B2B8B" w:rsidRPr="00767C7D" w:rsidTr="0043400A">
        <w:trPr>
          <w:cantSplit/>
        </w:trPr>
        <w:tc>
          <w:tcPr>
            <w:tcW w:w="3080" w:type="dxa"/>
          </w:tcPr>
          <w:p w:rsidR="004B2B8B" w:rsidRDefault="004B2B8B" w:rsidP="0043400A">
            <w:r>
              <w:t>William Warner</w:t>
            </w:r>
          </w:p>
        </w:tc>
        <w:tc>
          <w:tcPr>
            <w:tcW w:w="3080" w:type="dxa"/>
          </w:tcPr>
          <w:p w:rsidR="004B2B8B" w:rsidRDefault="004B2B8B" w:rsidP="0043400A">
            <w:pPr>
              <w:jc w:val="center"/>
            </w:pPr>
            <w:r>
              <w:t>13</w:t>
            </w:r>
          </w:p>
        </w:tc>
        <w:tc>
          <w:tcPr>
            <w:tcW w:w="3080" w:type="dxa"/>
          </w:tcPr>
          <w:p w:rsidR="004B2B8B" w:rsidRPr="0037736F" w:rsidRDefault="004B2B8B" w:rsidP="0043400A">
            <w:pPr>
              <w:jc w:val="center"/>
              <w:rPr>
                <w:color w:val="FF0000"/>
              </w:rPr>
            </w:pPr>
            <w:r w:rsidRPr="008A746B">
              <w:t>12</w:t>
            </w:r>
          </w:p>
        </w:tc>
      </w:tr>
    </w:tbl>
    <w:p w:rsidR="00D2400B" w:rsidRPr="004B2B8B" w:rsidRDefault="00D2400B" w:rsidP="00BE7EB4">
      <w:pPr>
        <w:spacing w:before="360"/>
        <w:rPr>
          <w:sz w:val="24"/>
          <w:szCs w:val="24"/>
        </w:rPr>
      </w:pPr>
      <w:r w:rsidRPr="004B2B8B">
        <w:rPr>
          <w:b/>
          <w:bCs/>
          <w:color w:val="000000"/>
        </w:rPr>
        <w:t>Changes in state of affairs</w:t>
      </w:r>
    </w:p>
    <w:p w:rsidR="00D2400B" w:rsidRPr="004B2B8B" w:rsidRDefault="00D2400B" w:rsidP="00BE7EB4">
      <w:pPr>
        <w:rPr>
          <w:bCs/>
          <w:color w:val="000000"/>
        </w:rPr>
      </w:pPr>
      <w:r w:rsidRPr="004B2B8B">
        <w:rPr>
          <w:bCs/>
          <w:color w:val="000000"/>
        </w:rPr>
        <w:t>There was no significant change in the state of affairs of the entity during the financial year.</w:t>
      </w:r>
    </w:p>
    <w:p w:rsidR="00D2400B" w:rsidRPr="004B2B8B" w:rsidRDefault="00D2400B" w:rsidP="00BE7EB4">
      <w:pPr>
        <w:rPr>
          <w:b/>
          <w:bCs/>
          <w:color w:val="000000"/>
        </w:rPr>
      </w:pPr>
      <w:r w:rsidRPr="004B2B8B">
        <w:rPr>
          <w:b/>
          <w:bCs/>
          <w:color w:val="000000"/>
        </w:rPr>
        <w:t>Subsequent events</w:t>
      </w:r>
    </w:p>
    <w:p w:rsidR="00D2400B" w:rsidRPr="004B2B8B" w:rsidRDefault="00D2400B" w:rsidP="00BE7EB4">
      <w:r w:rsidRPr="004B2B8B">
        <w:t>No matters or circumstances have arisen since the end of the financial year which significantly affected or may significantly affect the operations of the economic entity, the results of those operations, or the state of affairs of the economic entity in future financial years.</w:t>
      </w:r>
    </w:p>
    <w:p w:rsidR="00ED4ED0" w:rsidRPr="004B2B8B" w:rsidRDefault="00B26290" w:rsidP="004B6628">
      <w:r w:rsidRPr="004B2B8B">
        <w:rPr>
          <w:sz w:val="48"/>
        </w:rPr>
        <w:lastRenderedPageBreak/>
        <w:t>Directors Report (continue</w:t>
      </w:r>
      <w:r w:rsidR="00ED4ED0" w:rsidRPr="004B2B8B">
        <w:rPr>
          <w:sz w:val="48"/>
        </w:rPr>
        <w:t>d)</w:t>
      </w:r>
    </w:p>
    <w:p w:rsidR="00ED4ED0" w:rsidRPr="004B2B8B" w:rsidRDefault="00ED4ED0" w:rsidP="00ED4ED0">
      <w:pPr>
        <w:rPr>
          <w:rStyle w:val="Strong"/>
        </w:rPr>
      </w:pPr>
      <w:r w:rsidRPr="004B2B8B">
        <w:rPr>
          <w:rStyle w:val="Strong"/>
        </w:rPr>
        <w:t>For the yea</w:t>
      </w:r>
      <w:r w:rsidR="007E4389" w:rsidRPr="004B2B8B">
        <w:rPr>
          <w:rStyle w:val="Strong"/>
        </w:rPr>
        <w:t>r</w:t>
      </w:r>
      <w:r w:rsidR="009348B8" w:rsidRPr="004B2B8B">
        <w:rPr>
          <w:rStyle w:val="Strong"/>
        </w:rPr>
        <w:t xml:space="preserve"> ended 30 June </w:t>
      </w:r>
      <w:r w:rsidR="00985FF4" w:rsidRPr="004B2B8B">
        <w:rPr>
          <w:rStyle w:val="Strong"/>
        </w:rPr>
        <w:t>2015</w:t>
      </w:r>
    </w:p>
    <w:p w:rsidR="00515B5E" w:rsidRPr="004B2B8B" w:rsidRDefault="00515B5E" w:rsidP="00515B5E">
      <w:pPr>
        <w:spacing w:before="360"/>
        <w:rPr>
          <w:b/>
        </w:rPr>
      </w:pPr>
      <w:r w:rsidRPr="004B2B8B">
        <w:rPr>
          <w:b/>
        </w:rPr>
        <w:t>Environmental regulations</w:t>
      </w:r>
    </w:p>
    <w:p w:rsidR="00515B5E" w:rsidRPr="004B2B8B" w:rsidRDefault="00515B5E" w:rsidP="00515B5E">
      <w:r w:rsidRPr="004B2B8B">
        <w:t>The economic entity’s operations are not regulated by any significant environmental regulation under a law of the Commonwealth or of a state or territory.</w:t>
      </w:r>
    </w:p>
    <w:p w:rsidR="00D2400B" w:rsidRPr="004B2B8B" w:rsidRDefault="00D2400B" w:rsidP="00BE7EB4">
      <w:pPr>
        <w:rPr>
          <w:b/>
        </w:rPr>
      </w:pPr>
      <w:r w:rsidRPr="004B2B8B">
        <w:rPr>
          <w:b/>
        </w:rPr>
        <w:t>Indemnification of officers and auditors</w:t>
      </w:r>
    </w:p>
    <w:p w:rsidR="00D2400B" w:rsidRPr="004B2B8B" w:rsidRDefault="00D2400B" w:rsidP="00BE7EB4">
      <w:r w:rsidRPr="004B2B8B">
        <w:t>During or since the financial year, the company has paid premiums in respect of a contract insuring all the directors of Media Access Australia against legal costs incurred in defending proceedings for conduct other than:</w:t>
      </w:r>
    </w:p>
    <w:p w:rsidR="00D2400B" w:rsidRPr="004B2B8B" w:rsidRDefault="00D2400B" w:rsidP="00BE7EB4">
      <w:pPr>
        <w:pStyle w:val="ListParagraph"/>
        <w:numPr>
          <w:ilvl w:val="0"/>
          <w:numId w:val="8"/>
        </w:numPr>
        <w:ind w:left="714" w:hanging="357"/>
        <w:contextualSpacing w:val="0"/>
      </w:pPr>
      <w:r w:rsidRPr="004B2B8B">
        <w:t>A wilful breach of duty.</w:t>
      </w:r>
    </w:p>
    <w:p w:rsidR="00D2400B" w:rsidRPr="004B2B8B" w:rsidRDefault="00D2400B" w:rsidP="00BE7EB4">
      <w:pPr>
        <w:pStyle w:val="ListParagraph"/>
        <w:numPr>
          <w:ilvl w:val="0"/>
          <w:numId w:val="8"/>
        </w:numPr>
        <w:ind w:left="714" w:hanging="357"/>
        <w:contextualSpacing w:val="0"/>
      </w:pPr>
      <w:r w:rsidRPr="004B2B8B">
        <w:t xml:space="preserve">A contravention of sections 182 or 183 of the </w:t>
      </w:r>
      <w:r w:rsidRPr="004B2B8B">
        <w:rPr>
          <w:i/>
          <w:iCs/>
        </w:rPr>
        <w:t>Corporations Act 2001</w:t>
      </w:r>
      <w:r w:rsidRPr="004B2B8B">
        <w:t xml:space="preserve">, as permitted by section 199B of the </w:t>
      </w:r>
      <w:r w:rsidRPr="004B2B8B">
        <w:rPr>
          <w:i/>
          <w:iCs/>
        </w:rPr>
        <w:t>Corporations Act 2001</w:t>
      </w:r>
    </w:p>
    <w:p w:rsidR="00D2400B" w:rsidRPr="004B2B8B" w:rsidRDefault="00D2400B" w:rsidP="00515B5E">
      <w:pPr>
        <w:spacing w:before="240"/>
      </w:pPr>
      <w:r w:rsidRPr="004B2B8B">
        <w:t>The total amount of insurance contract premiums paid was $</w:t>
      </w:r>
      <w:r w:rsidR="00A15171" w:rsidRPr="004B2B8B">
        <w:t>8,127.87</w:t>
      </w:r>
      <w:r w:rsidRPr="004B2B8B">
        <w:t>.</w:t>
      </w:r>
    </w:p>
    <w:p w:rsidR="00D2400B" w:rsidRPr="004B2B8B" w:rsidRDefault="00D2400B" w:rsidP="00ED4ED0">
      <w:pPr>
        <w:rPr>
          <w:b/>
        </w:rPr>
      </w:pPr>
      <w:r w:rsidRPr="004B2B8B">
        <w:rPr>
          <w:b/>
        </w:rPr>
        <w:t>Proceedings on behalf of the company</w:t>
      </w:r>
    </w:p>
    <w:p w:rsidR="00D2400B" w:rsidRPr="004B2B8B" w:rsidRDefault="00D2400B" w:rsidP="00ED4ED0">
      <w:r w:rsidRPr="004B2B8B">
        <w:t xml:space="preserve">No person has applied for leave of Court to bring proceedings on behalf of the company or </w:t>
      </w:r>
      <w:bookmarkStart w:id="3" w:name="_GoBack"/>
      <w:bookmarkEnd w:id="3"/>
      <w:r w:rsidRPr="004B2B8B">
        <w:t>intervene in any proceedings to which the company is a party for the purpose of taking responsibility on behalf of the company for all or any part of those proceedings.</w:t>
      </w:r>
    </w:p>
    <w:p w:rsidR="00D2400B" w:rsidRPr="004B2B8B" w:rsidRDefault="00D2400B" w:rsidP="00ED4ED0">
      <w:pPr>
        <w:rPr>
          <w:b/>
        </w:rPr>
      </w:pPr>
      <w:r w:rsidRPr="004B2B8B">
        <w:rPr>
          <w:b/>
        </w:rPr>
        <w:t>Dividends</w:t>
      </w:r>
    </w:p>
    <w:p w:rsidR="00D2400B" w:rsidRPr="004B2B8B" w:rsidRDefault="00D2400B" w:rsidP="00ED4ED0">
      <w:r w:rsidRPr="004B2B8B">
        <w:t>No dividends were paid or declared since the start of the current financial year.</w:t>
      </w:r>
    </w:p>
    <w:p w:rsidR="00D2400B" w:rsidRPr="004B2B8B" w:rsidRDefault="00D2400B" w:rsidP="00ED4ED0">
      <w:pPr>
        <w:rPr>
          <w:b/>
        </w:rPr>
      </w:pPr>
      <w:r w:rsidRPr="004B2B8B">
        <w:rPr>
          <w:b/>
        </w:rPr>
        <w:t>Auditor’s Independence declaration</w:t>
      </w:r>
    </w:p>
    <w:p w:rsidR="00D2400B" w:rsidRPr="004B2B8B" w:rsidRDefault="00D2400B" w:rsidP="00ED4ED0">
      <w:r w:rsidRPr="004B2B8B">
        <w:t xml:space="preserve">The auditor’s independence declaration is included on page </w:t>
      </w:r>
      <w:r w:rsidR="00D64643" w:rsidRPr="004B2B8B">
        <w:t>3</w:t>
      </w:r>
      <w:r w:rsidR="004B2B8B">
        <w:t>3</w:t>
      </w:r>
      <w:r w:rsidRPr="004B2B8B">
        <w:t xml:space="preserve"> of the annual report.</w:t>
      </w:r>
    </w:p>
    <w:p w:rsidR="00D2400B" w:rsidRPr="004B2B8B" w:rsidRDefault="00D2400B" w:rsidP="00207A92">
      <w:pPr>
        <w:spacing w:after="120"/>
      </w:pPr>
      <w:r w:rsidRPr="004B2B8B">
        <w:t>On behalf of the Directors</w:t>
      </w:r>
    </w:p>
    <w:p w:rsidR="00830AA5" w:rsidRPr="004B2B8B" w:rsidRDefault="004B2B8B" w:rsidP="00ED4ED0">
      <w:r>
        <w:rPr>
          <w:noProof/>
          <w:lang w:eastAsia="en-AU"/>
        </w:rPr>
        <w:drawing>
          <wp:inline distT="0" distB="0" distL="0" distR="0">
            <wp:extent cx="1054755" cy="642025"/>
            <wp:effectExtent l="0" t="0" r="0" b="5715"/>
            <wp:docPr id="5" name="Picture 5" descr="Signature of Stephen H.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s digital signatu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5249" cy="642326"/>
                    </a:xfrm>
                    <a:prstGeom prst="rect">
                      <a:avLst/>
                    </a:prstGeom>
                  </pic:spPr>
                </pic:pic>
              </a:graphicData>
            </a:graphic>
          </wp:inline>
        </w:drawing>
      </w:r>
    </w:p>
    <w:p w:rsidR="009868C6" w:rsidRPr="004B2B8B" w:rsidRDefault="009868C6" w:rsidP="00ED4ED0">
      <w:r w:rsidRPr="004B2B8B">
        <w:t>Stephen H Wall</w:t>
      </w:r>
    </w:p>
    <w:p w:rsidR="00D2400B" w:rsidRPr="004B2B8B" w:rsidRDefault="00ED4ED0" w:rsidP="00ED4ED0">
      <w:pPr>
        <w:rPr>
          <w:b/>
        </w:rPr>
      </w:pPr>
      <w:r w:rsidRPr="004B2B8B">
        <w:rPr>
          <w:b/>
        </w:rPr>
        <w:t>DIRECTOR</w:t>
      </w:r>
    </w:p>
    <w:p w:rsidR="000C5471" w:rsidRDefault="00D2400B" w:rsidP="00ED4ED0">
      <w:pPr>
        <w:tabs>
          <w:tab w:val="left" w:pos="2268"/>
          <w:tab w:val="left" w:pos="4536"/>
        </w:tabs>
      </w:pPr>
      <w:r w:rsidRPr="004B2B8B">
        <w:t>Dated this</w:t>
      </w:r>
      <w:r w:rsidR="009868C6" w:rsidRPr="004B2B8B">
        <w:t xml:space="preserve"> </w:t>
      </w:r>
      <w:r w:rsidR="00291C43">
        <w:t>10</w:t>
      </w:r>
      <w:r w:rsidR="00291C43" w:rsidRPr="00291C43">
        <w:rPr>
          <w:vertAlign w:val="superscript"/>
        </w:rPr>
        <w:t>th</w:t>
      </w:r>
      <w:r w:rsidR="00291C43">
        <w:t xml:space="preserve"> </w:t>
      </w:r>
      <w:r w:rsidRPr="004B2B8B">
        <w:t>day of</w:t>
      </w:r>
      <w:r w:rsidR="009868C6" w:rsidRPr="004B2B8B">
        <w:t xml:space="preserve"> </w:t>
      </w:r>
      <w:r w:rsidR="00207A92" w:rsidRPr="004B2B8B">
        <w:t>November</w:t>
      </w:r>
      <w:r w:rsidR="00ED4ED0" w:rsidRPr="004B2B8B">
        <w:t xml:space="preserve"> </w:t>
      </w:r>
      <w:r w:rsidR="00985FF4" w:rsidRPr="004B2B8B">
        <w:t>2015</w:t>
      </w:r>
    </w:p>
    <w:p w:rsidR="000C5471" w:rsidRDefault="000C5471">
      <w:pPr>
        <w:spacing w:after="200"/>
      </w:pPr>
      <w:r>
        <w:br w:type="page"/>
      </w:r>
    </w:p>
    <w:p w:rsidR="00D2400B" w:rsidRPr="003226E6" w:rsidRDefault="00D2400B" w:rsidP="000C5471">
      <w:pPr>
        <w:pStyle w:val="Heading1"/>
        <w:rPr>
          <w:sz w:val="24"/>
          <w:szCs w:val="24"/>
        </w:rPr>
      </w:pPr>
      <w:bookmarkStart w:id="4" w:name="_Toc402184219"/>
      <w:r w:rsidRPr="003226E6">
        <w:lastRenderedPageBreak/>
        <w:t>Balance Sheet</w:t>
      </w:r>
      <w:bookmarkEnd w:id="4"/>
    </w:p>
    <w:p w:rsidR="00D2400B" w:rsidRPr="00ED4ED0" w:rsidRDefault="009348B8" w:rsidP="000C5471">
      <w:pPr>
        <w:rPr>
          <w:b/>
          <w:sz w:val="24"/>
          <w:szCs w:val="24"/>
        </w:rPr>
      </w:pPr>
      <w:r>
        <w:rPr>
          <w:b/>
        </w:rPr>
        <w:t xml:space="preserve">For the Year ended 30 June </w:t>
      </w:r>
      <w:r w:rsidR="00985FF4">
        <w:rPr>
          <w:b/>
        </w:rPr>
        <w:t>2015</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Balance sheet"/>
      </w:tblPr>
      <w:tblGrid>
        <w:gridCol w:w="3712"/>
        <w:gridCol w:w="1627"/>
        <w:gridCol w:w="2071"/>
        <w:gridCol w:w="1775"/>
      </w:tblGrid>
      <w:tr w:rsidR="00D2400B" w:rsidRPr="00985BEA" w:rsidTr="009348B8">
        <w:trPr>
          <w:cnfStyle w:val="100000000000" w:firstRow="1" w:lastRow="0" w:firstColumn="0" w:lastColumn="0" w:oddVBand="0" w:evenVBand="0" w:oddHBand="0" w:evenHBand="0" w:firstRowFirstColumn="0" w:firstRowLastColumn="0" w:lastRowFirstColumn="0" w:lastRowLastColumn="0"/>
          <w:cantSplit/>
          <w:tblHeader/>
          <w:jc w:val="center"/>
        </w:trPr>
        <w:tc>
          <w:tcPr>
            <w:tcW w:w="3712" w:type="dxa"/>
          </w:tcPr>
          <w:p w:rsidR="00D2400B" w:rsidRPr="00985BEA" w:rsidRDefault="00ED4ED0" w:rsidP="003206AB">
            <w:pPr>
              <w:spacing w:beforeLines="40" w:before="96" w:after="0"/>
            </w:pPr>
            <w:r>
              <w:t>Item</w:t>
            </w:r>
          </w:p>
        </w:tc>
        <w:tc>
          <w:tcPr>
            <w:tcW w:w="1627" w:type="dxa"/>
          </w:tcPr>
          <w:p w:rsidR="00D2400B" w:rsidRPr="00985BEA" w:rsidRDefault="00D2400B" w:rsidP="003206AB">
            <w:pPr>
              <w:spacing w:beforeLines="40" w:before="96" w:after="0"/>
              <w:jc w:val="center"/>
            </w:pPr>
            <w:r w:rsidRPr="00985BEA">
              <w:rPr>
                <w:color w:val="000000"/>
              </w:rPr>
              <w:t>Note</w:t>
            </w:r>
          </w:p>
        </w:tc>
        <w:tc>
          <w:tcPr>
            <w:tcW w:w="2071" w:type="dxa"/>
          </w:tcPr>
          <w:p w:rsidR="00D2400B" w:rsidRPr="00985BEA" w:rsidRDefault="00985FF4" w:rsidP="009348B8">
            <w:pPr>
              <w:spacing w:beforeLines="40" w:before="96" w:after="0"/>
              <w:jc w:val="right"/>
            </w:pPr>
            <w:r>
              <w:rPr>
                <w:color w:val="000000"/>
              </w:rPr>
              <w:t>2015</w:t>
            </w:r>
            <w:r w:rsidR="00ED4ED0">
              <w:rPr>
                <w:color w:val="000000"/>
              </w:rPr>
              <w:br/>
              <w:t>$</w:t>
            </w:r>
          </w:p>
        </w:tc>
        <w:tc>
          <w:tcPr>
            <w:tcW w:w="1775" w:type="dxa"/>
          </w:tcPr>
          <w:p w:rsidR="00D2400B" w:rsidRPr="00985BEA" w:rsidRDefault="00985FF4" w:rsidP="009348B8">
            <w:pPr>
              <w:spacing w:beforeLines="40" w:before="96" w:after="0"/>
              <w:jc w:val="right"/>
            </w:pPr>
            <w:r>
              <w:rPr>
                <w:color w:val="000000"/>
              </w:rPr>
              <w:t>2014</w:t>
            </w:r>
            <w:r w:rsidR="00ED4ED0">
              <w:rPr>
                <w:color w:val="000000"/>
              </w:rPr>
              <w:br/>
              <w:t>$</w:t>
            </w:r>
          </w:p>
        </w:tc>
      </w:tr>
      <w:tr w:rsidR="00D2400B" w:rsidRPr="004809AF" w:rsidTr="009348B8">
        <w:trPr>
          <w:cantSplit/>
          <w:jc w:val="center"/>
        </w:trPr>
        <w:tc>
          <w:tcPr>
            <w:tcW w:w="3712" w:type="dxa"/>
          </w:tcPr>
          <w:p w:rsidR="00D2400B" w:rsidRPr="0044141E" w:rsidRDefault="00D2400B" w:rsidP="003206AB">
            <w:pPr>
              <w:spacing w:beforeLines="40" w:before="96" w:after="0"/>
              <w:rPr>
                <w:b/>
              </w:rPr>
            </w:pPr>
            <w:r w:rsidRPr="0044141E">
              <w:rPr>
                <w:b/>
                <w:bCs/>
                <w:color w:val="000000"/>
              </w:rPr>
              <w:t>Current Assets</w:t>
            </w:r>
          </w:p>
        </w:tc>
        <w:tc>
          <w:tcPr>
            <w:tcW w:w="1627" w:type="dxa"/>
          </w:tcPr>
          <w:p w:rsidR="00D2400B" w:rsidRPr="004809AF" w:rsidRDefault="00D2400B" w:rsidP="003206AB">
            <w:pPr>
              <w:spacing w:beforeLines="40" w:before="96" w:after="0"/>
              <w:jc w:val="center"/>
            </w:pPr>
          </w:p>
        </w:tc>
        <w:tc>
          <w:tcPr>
            <w:tcW w:w="2071" w:type="dxa"/>
          </w:tcPr>
          <w:p w:rsidR="00D2400B" w:rsidRPr="004809AF" w:rsidRDefault="00D2400B" w:rsidP="003206AB">
            <w:pPr>
              <w:spacing w:beforeLines="40" w:before="96" w:after="0"/>
              <w:jc w:val="right"/>
            </w:pPr>
          </w:p>
        </w:tc>
        <w:tc>
          <w:tcPr>
            <w:tcW w:w="1775" w:type="dxa"/>
          </w:tcPr>
          <w:p w:rsidR="00D2400B" w:rsidRPr="004809AF" w:rsidRDefault="00D2400B" w:rsidP="003206AB">
            <w:pPr>
              <w:spacing w:beforeLines="40" w:before="96" w:after="0"/>
              <w:jc w:val="right"/>
            </w:pPr>
          </w:p>
        </w:tc>
      </w:tr>
      <w:tr w:rsidR="009348B8" w:rsidRPr="004809AF" w:rsidTr="009348B8">
        <w:trPr>
          <w:cantSplit/>
          <w:jc w:val="center"/>
        </w:trPr>
        <w:tc>
          <w:tcPr>
            <w:tcW w:w="3712" w:type="dxa"/>
          </w:tcPr>
          <w:p w:rsidR="009348B8" w:rsidRPr="004809AF" w:rsidRDefault="009348B8" w:rsidP="003206AB">
            <w:pPr>
              <w:spacing w:beforeLines="40" w:before="96" w:after="0"/>
            </w:pPr>
            <w:r w:rsidRPr="004809AF">
              <w:rPr>
                <w:color w:val="000000"/>
              </w:rPr>
              <w:t>Cash and Cash Equivalents</w:t>
            </w:r>
          </w:p>
        </w:tc>
        <w:tc>
          <w:tcPr>
            <w:tcW w:w="1627" w:type="dxa"/>
          </w:tcPr>
          <w:p w:rsidR="009348B8" w:rsidRPr="004809AF" w:rsidRDefault="009348B8" w:rsidP="003206AB">
            <w:pPr>
              <w:spacing w:beforeLines="40" w:before="96" w:after="0"/>
              <w:jc w:val="center"/>
            </w:pPr>
            <w:r w:rsidRPr="004809AF">
              <w:t>6</w:t>
            </w:r>
          </w:p>
        </w:tc>
        <w:tc>
          <w:tcPr>
            <w:tcW w:w="2071" w:type="dxa"/>
          </w:tcPr>
          <w:p w:rsidR="009348B8" w:rsidRPr="00C45222" w:rsidRDefault="00C45222" w:rsidP="004D1DF5">
            <w:pPr>
              <w:spacing w:beforeLines="40" w:before="96" w:after="0"/>
              <w:jc w:val="right"/>
              <w:rPr>
                <w:highlight w:val="yellow"/>
              </w:rPr>
            </w:pPr>
            <w:r w:rsidRPr="00830AA5">
              <w:t>1,076,624</w:t>
            </w:r>
          </w:p>
        </w:tc>
        <w:tc>
          <w:tcPr>
            <w:tcW w:w="1775" w:type="dxa"/>
          </w:tcPr>
          <w:p w:rsidR="009348B8" w:rsidRPr="00830AA5" w:rsidRDefault="00985FF4" w:rsidP="00F2616A">
            <w:pPr>
              <w:spacing w:beforeLines="40" w:before="96" w:after="0"/>
              <w:jc w:val="right"/>
            </w:pPr>
            <w:r w:rsidRPr="00830AA5">
              <w:t>2,053,240</w:t>
            </w:r>
          </w:p>
        </w:tc>
      </w:tr>
      <w:tr w:rsidR="009348B8" w:rsidRPr="004809AF" w:rsidTr="009348B8">
        <w:trPr>
          <w:cantSplit/>
          <w:jc w:val="center"/>
        </w:trPr>
        <w:tc>
          <w:tcPr>
            <w:tcW w:w="3712" w:type="dxa"/>
          </w:tcPr>
          <w:p w:rsidR="009348B8" w:rsidRPr="004809AF" w:rsidRDefault="009348B8" w:rsidP="003206AB">
            <w:pPr>
              <w:spacing w:beforeLines="40" w:before="96" w:after="0"/>
            </w:pPr>
            <w:r w:rsidRPr="004809AF">
              <w:rPr>
                <w:color w:val="000000"/>
              </w:rPr>
              <w:t>Trade and Other Receivables</w:t>
            </w:r>
          </w:p>
        </w:tc>
        <w:tc>
          <w:tcPr>
            <w:tcW w:w="1627" w:type="dxa"/>
          </w:tcPr>
          <w:p w:rsidR="009348B8" w:rsidRPr="004809AF" w:rsidRDefault="009348B8" w:rsidP="003206AB">
            <w:pPr>
              <w:spacing w:beforeLines="40" w:before="96" w:after="0"/>
              <w:jc w:val="center"/>
            </w:pPr>
            <w:r w:rsidRPr="004809AF">
              <w:t>7</w:t>
            </w:r>
          </w:p>
        </w:tc>
        <w:tc>
          <w:tcPr>
            <w:tcW w:w="2071" w:type="dxa"/>
          </w:tcPr>
          <w:p w:rsidR="009348B8" w:rsidRPr="00830AA5" w:rsidRDefault="00C45222" w:rsidP="003206AB">
            <w:pPr>
              <w:spacing w:beforeLines="40" w:before="96" w:after="0"/>
              <w:jc w:val="right"/>
            </w:pPr>
            <w:r w:rsidRPr="00830AA5">
              <w:rPr>
                <w:rFonts w:cstheme="minorHAnsi"/>
              </w:rPr>
              <w:t>156,658</w:t>
            </w:r>
          </w:p>
        </w:tc>
        <w:tc>
          <w:tcPr>
            <w:tcW w:w="1775" w:type="dxa"/>
          </w:tcPr>
          <w:p w:rsidR="009348B8" w:rsidRPr="00830AA5" w:rsidRDefault="00380101" w:rsidP="00F2616A">
            <w:pPr>
              <w:spacing w:beforeLines="40" w:before="96" w:after="0"/>
              <w:jc w:val="right"/>
            </w:pPr>
            <w:r w:rsidRPr="00830AA5">
              <w:rPr>
                <w:rFonts w:cstheme="minorHAnsi"/>
              </w:rPr>
              <w:t>176,314</w:t>
            </w:r>
          </w:p>
        </w:tc>
      </w:tr>
      <w:tr w:rsidR="009348B8" w:rsidRPr="004809AF" w:rsidTr="009348B8">
        <w:trPr>
          <w:cantSplit/>
          <w:jc w:val="center"/>
        </w:trPr>
        <w:tc>
          <w:tcPr>
            <w:tcW w:w="3712" w:type="dxa"/>
          </w:tcPr>
          <w:p w:rsidR="009348B8" w:rsidRPr="004809AF" w:rsidRDefault="009348B8" w:rsidP="003206AB">
            <w:pPr>
              <w:spacing w:beforeLines="40" w:before="96" w:after="0"/>
            </w:pPr>
            <w:r w:rsidRPr="004809AF">
              <w:rPr>
                <w:color w:val="000000"/>
              </w:rPr>
              <w:t>Financial Assets</w:t>
            </w:r>
          </w:p>
        </w:tc>
        <w:tc>
          <w:tcPr>
            <w:tcW w:w="1627" w:type="dxa"/>
          </w:tcPr>
          <w:p w:rsidR="009348B8" w:rsidRPr="004809AF" w:rsidRDefault="009348B8" w:rsidP="003206AB">
            <w:pPr>
              <w:spacing w:beforeLines="40" w:before="96" w:after="0"/>
              <w:jc w:val="center"/>
            </w:pPr>
            <w:r w:rsidRPr="004809AF">
              <w:rPr>
                <w:color w:val="000000"/>
              </w:rPr>
              <w:t>8</w:t>
            </w:r>
          </w:p>
        </w:tc>
        <w:tc>
          <w:tcPr>
            <w:tcW w:w="2071" w:type="dxa"/>
          </w:tcPr>
          <w:p w:rsidR="004D1DF5" w:rsidRPr="00830AA5" w:rsidRDefault="001C4248" w:rsidP="002503EE">
            <w:pPr>
              <w:spacing w:beforeLines="40" w:before="96" w:after="0"/>
              <w:jc w:val="right"/>
            </w:pPr>
            <w:r w:rsidRPr="00830AA5">
              <w:rPr>
                <w:rFonts w:cstheme="minorHAnsi"/>
              </w:rPr>
              <w:t>4,618,7</w:t>
            </w:r>
            <w:r w:rsidR="002503EE" w:rsidRPr="00830AA5">
              <w:rPr>
                <w:rFonts w:cstheme="minorHAnsi"/>
              </w:rPr>
              <w:t>90</w:t>
            </w:r>
          </w:p>
        </w:tc>
        <w:tc>
          <w:tcPr>
            <w:tcW w:w="1775" w:type="dxa"/>
          </w:tcPr>
          <w:p w:rsidR="009348B8" w:rsidRPr="00830AA5" w:rsidRDefault="00380101" w:rsidP="00F2616A">
            <w:pPr>
              <w:spacing w:beforeLines="40" w:before="96" w:after="0"/>
              <w:jc w:val="right"/>
            </w:pPr>
            <w:r w:rsidRPr="00830AA5">
              <w:rPr>
                <w:rFonts w:cstheme="minorHAnsi"/>
              </w:rPr>
              <w:t>4,892,192</w:t>
            </w:r>
          </w:p>
        </w:tc>
      </w:tr>
      <w:tr w:rsidR="009348B8" w:rsidRPr="004809AF" w:rsidTr="009348B8">
        <w:trPr>
          <w:cantSplit/>
          <w:jc w:val="center"/>
        </w:trPr>
        <w:tc>
          <w:tcPr>
            <w:tcW w:w="3712" w:type="dxa"/>
          </w:tcPr>
          <w:p w:rsidR="009348B8" w:rsidRPr="004809AF" w:rsidRDefault="009348B8" w:rsidP="003206AB">
            <w:pPr>
              <w:spacing w:beforeLines="40" w:before="96" w:after="0"/>
            </w:pPr>
            <w:r w:rsidRPr="004809AF">
              <w:rPr>
                <w:color w:val="000000"/>
              </w:rPr>
              <w:t>Other Current Assets</w:t>
            </w:r>
          </w:p>
        </w:tc>
        <w:tc>
          <w:tcPr>
            <w:tcW w:w="1627" w:type="dxa"/>
          </w:tcPr>
          <w:p w:rsidR="009348B8" w:rsidRPr="004809AF" w:rsidRDefault="009348B8" w:rsidP="003206AB">
            <w:pPr>
              <w:spacing w:beforeLines="40" w:before="96" w:after="0"/>
              <w:jc w:val="center"/>
              <w:rPr>
                <w:u w:val="single"/>
              </w:rPr>
            </w:pPr>
          </w:p>
        </w:tc>
        <w:tc>
          <w:tcPr>
            <w:tcW w:w="2071" w:type="dxa"/>
            <w:tcBorders>
              <w:bottom w:val="single" w:sz="4" w:space="0" w:color="auto"/>
            </w:tcBorders>
          </w:tcPr>
          <w:p w:rsidR="009348B8" w:rsidRPr="00830AA5" w:rsidRDefault="001C4248" w:rsidP="003206AB">
            <w:pPr>
              <w:spacing w:beforeLines="40" w:before="96" w:after="0"/>
              <w:jc w:val="right"/>
              <w:rPr>
                <w:color w:val="000000"/>
              </w:rPr>
            </w:pPr>
            <w:r w:rsidRPr="00830AA5">
              <w:rPr>
                <w:color w:val="000000"/>
              </w:rPr>
              <w:t>200</w:t>
            </w:r>
          </w:p>
        </w:tc>
        <w:tc>
          <w:tcPr>
            <w:tcW w:w="1775" w:type="dxa"/>
            <w:tcBorders>
              <w:bottom w:val="single" w:sz="4" w:space="0" w:color="auto"/>
            </w:tcBorders>
          </w:tcPr>
          <w:p w:rsidR="009348B8" w:rsidRPr="00830AA5" w:rsidRDefault="00380101" w:rsidP="00F2616A">
            <w:pPr>
              <w:spacing w:beforeLines="40" w:before="96" w:after="0"/>
              <w:jc w:val="right"/>
              <w:rPr>
                <w:color w:val="000000"/>
              </w:rPr>
            </w:pPr>
            <w:r w:rsidRPr="00830AA5">
              <w:rPr>
                <w:color w:val="000000"/>
              </w:rPr>
              <w:t>4,821</w:t>
            </w:r>
          </w:p>
        </w:tc>
      </w:tr>
      <w:tr w:rsidR="009348B8" w:rsidRPr="004809AF" w:rsidTr="009348B8">
        <w:trPr>
          <w:cantSplit/>
          <w:jc w:val="center"/>
        </w:trPr>
        <w:tc>
          <w:tcPr>
            <w:tcW w:w="3712" w:type="dxa"/>
          </w:tcPr>
          <w:p w:rsidR="009348B8" w:rsidRPr="0044141E" w:rsidRDefault="009348B8" w:rsidP="003206AB">
            <w:pPr>
              <w:spacing w:beforeLines="40" w:before="96" w:after="0"/>
              <w:rPr>
                <w:b/>
              </w:rPr>
            </w:pPr>
            <w:r w:rsidRPr="0044141E">
              <w:rPr>
                <w:b/>
                <w:bCs/>
                <w:color w:val="000000"/>
              </w:rPr>
              <w:t>Total Current Assets</w:t>
            </w:r>
          </w:p>
        </w:tc>
        <w:tc>
          <w:tcPr>
            <w:tcW w:w="1627" w:type="dxa"/>
          </w:tcPr>
          <w:p w:rsidR="009348B8" w:rsidRPr="004809AF" w:rsidRDefault="009348B8" w:rsidP="003206AB">
            <w:pPr>
              <w:spacing w:beforeLines="40" w:before="96" w:after="0"/>
              <w:jc w:val="center"/>
            </w:pPr>
          </w:p>
        </w:tc>
        <w:tc>
          <w:tcPr>
            <w:tcW w:w="2071" w:type="dxa"/>
            <w:tcBorders>
              <w:top w:val="single" w:sz="4" w:space="0" w:color="auto"/>
            </w:tcBorders>
          </w:tcPr>
          <w:p w:rsidR="009348B8" w:rsidRPr="00830AA5" w:rsidRDefault="001C4248" w:rsidP="002503EE">
            <w:pPr>
              <w:spacing w:beforeLines="40" w:before="96" w:after="0"/>
              <w:jc w:val="right"/>
            </w:pPr>
            <w:r w:rsidRPr="00830AA5">
              <w:t>5,852,27</w:t>
            </w:r>
            <w:r w:rsidR="002503EE" w:rsidRPr="00830AA5">
              <w:t>2</w:t>
            </w:r>
          </w:p>
        </w:tc>
        <w:tc>
          <w:tcPr>
            <w:tcW w:w="1775" w:type="dxa"/>
            <w:tcBorders>
              <w:top w:val="single" w:sz="4" w:space="0" w:color="auto"/>
            </w:tcBorders>
          </w:tcPr>
          <w:p w:rsidR="009348B8" w:rsidRPr="00830AA5" w:rsidRDefault="00380101" w:rsidP="00F2616A">
            <w:pPr>
              <w:spacing w:beforeLines="40" w:before="96" w:after="0"/>
              <w:jc w:val="right"/>
            </w:pPr>
            <w:r w:rsidRPr="00830AA5">
              <w:t>7,126,567</w:t>
            </w:r>
          </w:p>
        </w:tc>
      </w:tr>
      <w:tr w:rsidR="009348B8" w:rsidRPr="004809AF" w:rsidTr="009348B8">
        <w:trPr>
          <w:cantSplit/>
          <w:jc w:val="center"/>
        </w:trPr>
        <w:tc>
          <w:tcPr>
            <w:tcW w:w="3712" w:type="dxa"/>
          </w:tcPr>
          <w:p w:rsidR="009348B8" w:rsidRPr="0044141E" w:rsidRDefault="009348B8" w:rsidP="003206AB">
            <w:pPr>
              <w:spacing w:beforeLines="40" w:before="96" w:after="0"/>
              <w:rPr>
                <w:b/>
              </w:rPr>
            </w:pPr>
            <w:r w:rsidRPr="0044141E">
              <w:rPr>
                <w:b/>
                <w:bCs/>
                <w:color w:val="000000"/>
              </w:rPr>
              <w:t>Non-Current Assets</w:t>
            </w:r>
          </w:p>
        </w:tc>
        <w:tc>
          <w:tcPr>
            <w:tcW w:w="1627" w:type="dxa"/>
          </w:tcPr>
          <w:p w:rsidR="009348B8" w:rsidRPr="004809AF" w:rsidRDefault="009348B8" w:rsidP="003206AB">
            <w:pPr>
              <w:spacing w:beforeLines="40" w:before="96" w:after="0"/>
              <w:jc w:val="center"/>
            </w:pPr>
          </w:p>
        </w:tc>
        <w:tc>
          <w:tcPr>
            <w:tcW w:w="2071" w:type="dxa"/>
          </w:tcPr>
          <w:p w:rsidR="009348B8" w:rsidRPr="00830AA5" w:rsidRDefault="009348B8" w:rsidP="003206AB">
            <w:pPr>
              <w:spacing w:beforeLines="40" w:before="96" w:after="0"/>
              <w:jc w:val="right"/>
            </w:pPr>
          </w:p>
        </w:tc>
        <w:tc>
          <w:tcPr>
            <w:tcW w:w="1775" w:type="dxa"/>
          </w:tcPr>
          <w:p w:rsidR="009348B8" w:rsidRPr="00830AA5" w:rsidRDefault="009348B8" w:rsidP="00F2616A">
            <w:pPr>
              <w:spacing w:beforeLines="40" w:before="96" w:after="0"/>
              <w:jc w:val="right"/>
            </w:pPr>
          </w:p>
        </w:tc>
      </w:tr>
      <w:tr w:rsidR="009348B8" w:rsidRPr="004809AF" w:rsidTr="009348B8">
        <w:trPr>
          <w:cantSplit/>
          <w:jc w:val="center"/>
        </w:trPr>
        <w:tc>
          <w:tcPr>
            <w:tcW w:w="3712" w:type="dxa"/>
          </w:tcPr>
          <w:p w:rsidR="009348B8" w:rsidRPr="003E2E18" w:rsidRDefault="009348B8" w:rsidP="003206AB">
            <w:pPr>
              <w:spacing w:beforeLines="40" w:before="96" w:after="0"/>
            </w:pPr>
            <w:r w:rsidRPr="003E2E18">
              <w:rPr>
                <w:color w:val="000000"/>
              </w:rPr>
              <w:t>Property, Plant and Equipment</w:t>
            </w:r>
          </w:p>
        </w:tc>
        <w:tc>
          <w:tcPr>
            <w:tcW w:w="1627" w:type="dxa"/>
          </w:tcPr>
          <w:p w:rsidR="009348B8" w:rsidRPr="003E2E18" w:rsidRDefault="009348B8" w:rsidP="003206AB">
            <w:pPr>
              <w:spacing w:beforeLines="40" w:before="96" w:after="0"/>
              <w:jc w:val="center"/>
            </w:pPr>
            <w:r w:rsidRPr="003E2E18">
              <w:rPr>
                <w:color w:val="000000"/>
              </w:rPr>
              <w:t>9</w:t>
            </w:r>
          </w:p>
        </w:tc>
        <w:tc>
          <w:tcPr>
            <w:tcW w:w="2071" w:type="dxa"/>
          </w:tcPr>
          <w:p w:rsidR="009348B8" w:rsidRPr="003E2E18" w:rsidRDefault="001C4248" w:rsidP="003206AB">
            <w:pPr>
              <w:spacing w:beforeLines="40" w:before="96" w:after="0"/>
              <w:jc w:val="right"/>
              <w:rPr>
                <w:color w:val="000000"/>
                <w:u w:val="single"/>
              </w:rPr>
            </w:pPr>
            <w:r w:rsidRPr="003E2E18">
              <w:rPr>
                <w:rFonts w:cstheme="minorHAnsi"/>
                <w:szCs w:val="22"/>
                <w:u w:val="single"/>
              </w:rPr>
              <w:t>24,169</w:t>
            </w:r>
          </w:p>
        </w:tc>
        <w:tc>
          <w:tcPr>
            <w:tcW w:w="1775" w:type="dxa"/>
          </w:tcPr>
          <w:p w:rsidR="009348B8" w:rsidRPr="003E2E18" w:rsidRDefault="00380101" w:rsidP="00F2616A">
            <w:pPr>
              <w:spacing w:beforeLines="40" w:before="96" w:after="0"/>
              <w:jc w:val="right"/>
              <w:rPr>
                <w:color w:val="000000"/>
              </w:rPr>
            </w:pPr>
            <w:r w:rsidRPr="003E2E18">
              <w:rPr>
                <w:rFonts w:cstheme="minorHAnsi"/>
                <w:szCs w:val="22"/>
                <w:u w:val="single"/>
              </w:rPr>
              <w:t>121,621</w:t>
            </w:r>
          </w:p>
        </w:tc>
      </w:tr>
      <w:tr w:rsidR="009348B8" w:rsidRPr="004809AF" w:rsidTr="009348B8">
        <w:trPr>
          <w:cantSplit/>
          <w:jc w:val="center"/>
        </w:trPr>
        <w:tc>
          <w:tcPr>
            <w:tcW w:w="3712" w:type="dxa"/>
          </w:tcPr>
          <w:p w:rsidR="009348B8" w:rsidRPr="003E2E18" w:rsidRDefault="009348B8" w:rsidP="003206AB">
            <w:pPr>
              <w:spacing w:beforeLines="40" w:before="96" w:after="0"/>
              <w:rPr>
                <w:b/>
              </w:rPr>
            </w:pPr>
            <w:r w:rsidRPr="003E2E18">
              <w:rPr>
                <w:b/>
                <w:bCs/>
                <w:color w:val="000000"/>
              </w:rPr>
              <w:t>Total Non-Current Assets</w:t>
            </w:r>
          </w:p>
        </w:tc>
        <w:tc>
          <w:tcPr>
            <w:tcW w:w="1627" w:type="dxa"/>
          </w:tcPr>
          <w:p w:rsidR="009348B8" w:rsidRPr="003E2E18" w:rsidRDefault="009348B8" w:rsidP="003206AB">
            <w:pPr>
              <w:spacing w:beforeLines="40" w:before="96" w:after="0"/>
              <w:jc w:val="center"/>
            </w:pPr>
          </w:p>
        </w:tc>
        <w:tc>
          <w:tcPr>
            <w:tcW w:w="2071" w:type="dxa"/>
          </w:tcPr>
          <w:p w:rsidR="009348B8" w:rsidRPr="003E2E18" w:rsidRDefault="001C4248" w:rsidP="00550D73">
            <w:pPr>
              <w:spacing w:beforeLines="40" w:before="96" w:after="0"/>
              <w:jc w:val="right"/>
            </w:pPr>
            <w:r w:rsidRPr="003E2E18">
              <w:rPr>
                <w:rFonts w:cstheme="minorHAnsi"/>
                <w:szCs w:val="22"/>
              </w:rPr>
              <w:t>2</w:t>
            </w:r>
            <w:r w:rsidR="00550D73" w:rsidRPr="003E2E18">
              <w:rPr>
                <w:rFonts w:cstheme="minorHAnsi"/>
                <w:szCs w:val="22"/>
              </w:rPr>
              <w:t>4</w:t>
            </w:r>
            <w:r w:rsidRPr="003E2E18">
              <w:rPr>
                <w:rFonts w:cstheme="minorHAnsi"/>
                <w:szCs w:val="22"/>
              </w:rPr>
              <w:t>,169</w:t>
            </w:r>
          </w:p>
        </w:tc>
        <w:tc>
          <w:tcPr>
            <w:tcW w:w="1775" w:type="dxa"/>
          </w:tcPr>
          <w:p w:rsidR="009348B8" w:rsidRPr="003E2E18" w:rsidRDefault="00380101" w:rsidP="00F2616A">
            <w:pPr>
              <w:spacing w:beforeLines="40" w:before="96" w:after="0"/>
              <w:jc w:val="right"/>
            </w:pPr>
            <w:r w:rsidRPr="003E2E18">
              <w:rPr>
                <w:rFonts w:cstheme="minorHAnsi"/>
                <w:szCs w:val="22"/>
              </w:rPr>
              <w:t>121,621</w:t>
            </w:r>
          </w:p>
        </w:tc>
      </w:tr>
      <w:tr w:rsidR="009348B8" w:rsidRPr="004809AF" w:rsidTr="009348B8">
        <w:trPr>
          <w:cantSplit/>
          <w:jc w:val="center"/>
        </w:trPr>
        <w:tc>
          <w:tcPr>
            <w:tcW w:w="3712" w:type="dxa"/>
          </w:tcPr>
          <w:p w:rsidR="009348B8" w:rsidRPr="003E2E18" w:rsidRDefault="009348B8" w:rsidP="003206AB">
            <w:pPr>
              <w:spacing w:beforeLines="40" w:before="96" w:after="0"/>
              <w:rPr>
                <w:b/>
              </w:rPr>
            </w:pPr>
            <w:r w:rsidRPr="003E2E18">
              <w:rPr>
                <w:b/>
                <w:bCs/>
                <w:color w:val="000000"/>
              </w:rPr>
              <w:t>Total Assets</w:t>
            </w:r>
          </w:p>
        </w:tc>
        <w:tc>
          <w:tcPr>
            <w:tcW w:w="1627" w:type="dxa"/>
          </w:tcPr>
          <w:p w:rsidR="009348B8" w:rsidRPr="003E2E18" w:rsidRDefault="009348B8" w:rsidP="003206AB">
            <w:pPr>
              <w:spacing w:beforeLines="40" w:before="96" w:after="0"/>
              <w:jc w:val="center"/>
              <w:rPr>
                <w:u w:val="single"/>
              </w:rPr>
            </w:pPr>
          </w:p>
        </w:tc>
        <w:tc>
          <w:tcPr>
            <w:tcW w:w="2071" w:type="dxa"/>
            <w:tcBorders>
              <w:top w:val="single" w:sz="4" w:space="0" w:color="auto"/>
              <w:bottom w:val="single" w:sz="4" w:space="0" w:color="auto"/>
            </w:tcBorders>
          </w:tcPr>
          <w:p w:rsidR="009348B8" w:rsidRPr="003E2E18" w:rsidRDefault="001C4248" w:rsidP="002503EE">
            <w:pPr>
              <w:spacing w:beforeLines="40" w:before="96" w:after="0"/>
              <w:jc w:val="right"/>
            </w:pPr>
            <w:r w:rsidRPr="003E2E18">
              <w:t>5,876,44</w:t>
            </w:r>
            <w:r w:rsidR="002503EE" w:rsidRPr="003E2E18">
              <w:t>1</w:t>
            </w:r>
          </w:p>
        </w:tc>
        <w:tc>
          <w:tcPr>
            <w:tcW w:w="1775" w:type="dxa"/>
            <w:tcBorders>
              <w:top w:val="single" w:sz="4" w:space="0" w:color="auto"/>
              <w:bottom w:val="single" w:sz="4" w:space="0" w:color="auto"/>
            </w:tcBorders>
          </w:tcPr>
          <w:p w:rsidR="009348B8" w:rsidRPr="003E2E18" w:rsidRDefault="00380101" w:rsidP="00F2616A">
            <w:pPr>
              <w:spacing w:beforeLines="40" w:before="96" w:after="0"/>
              <w:jc w:val="right"/>
              <w:rPr>
                <w:u w:val="single"/>
              </w:rPr>
            </w:pPr>
            <w:r w:rsidRPr="003E2E18">
              <w:t>7,248,188</w:t>
            </w:r>
          </w:p>
        </w:tc>
      </w:tr>
      <w:tr w:rsidR="009348B8" w:rsidRPr="003E2E18" w:rsidTr="009348B8">
        <w:trPr>
          <w:cantSplit/>
          <w:jc w:val="center"/>
        </w:trPr>
        <w:tc>
          <w:tcPr>
            <w:tcW w:w="3712" w:type="dxa"/>
          </w:tcPr>
          <w:p w:rsidR="009348B8" w:rsidRPr="003E2E18" w:rsidRDefault="009348B8" w:rsidP="003206AB">
            <w:pPr>
              <w:spacing w:beforeLines="40" w:before="96" w:after="0"/>
              <w:rPr>
                <w:b/>
              </w:rPr>
            </w:pPr>
            <w:r w:rsidRPr="003E2E18">
              <w:rPr>
                <w:b/>
                <w:bCs/>
                <w:color w:val="000000"/>
              </w:rPr>
              <w:t>Current Liabilities</w:t>
            </w:r>
          </w:p>
        </w:tc>
        <w:tc>
          <w:tcPr>
            <w:tcW w:w="1627" w:type="dxa"/>
          </w:tcPr>
          <w:p w:rsidR="009348B8" w:rsidRPr="003E2E18" w:rsidRDefault="009348B8" w:rsidP="003206AB">
            <w:pPr>
              <w:spacing w:beforeLines="40" w:before="96" w:after="0"/>
              <w:jc w:val="center"/>
            </w:pPr>
          </w:p>
        </w:tc>
        <w:tc>
          <w:tcPr>
            <w:tcW w:w="2071" w:type="dxa"/>
          </w:tcPr>
          <w:p w:rsidR="009348B8" w:rsidRPr="003E2E18" w:rsidRDefault="009348B8" w:rsidP="003206AB">
            <w:pPr>
              <w:spacing w:beforeLines="40" w:before="96" w:after="0"/>
              <w:jc w:val="right"/>
            </w:pPr>
          </w:p>
        </w:tc>
        <w:tc>
          <w:tcPr>
            <w:tcW w:w="1775" w:type="dxa"/>
          </w:tcPr>
          <w:p w:rsidR="009348B8" w:rsidRPr="003E2E18" w:rsidRDefault="009348B8" w:rsidP="00F2616A">
            <w:pPr>
              <w:spacing w:beforeLines="40" w:before="96" w:after="0"/>
              <w:jc w:val="right"/>
            </w:pPr>
          </w:p>
        </w:tc>
      </w:tr>
      <w:tr w:rsidR="009348B8" w:rsidRPr="003E2E18" w:rsidTr="009348B8">
        <w:trPr>
          <w:cantSplit/>
          <w:jc w:val="center"/>
        </w:trPr>
        <w:tc>
          <w:tcPr>
            <w:tcW w:w="3712" w:type="dxa"/>
          </w:tcPr>
          <w:p w:rsidR="009348B8" w:rsidRPr="003E2E18" w:rsidRDefault="009348B8" w:rsidP="003206AB">
            <w:pPr>
              <w:spacing w:beforeLines="40" w:before="96" w:after="0"/>
            </w:pPr>
            <w:r w:rsidRPr="003E2E18">
              <w:rPr>
                <w:color w:val="000000"/>
              </w:rPr>
              <w:t>Trade and Other Payables</w:t>
            </w:r>
          </w:p>
        </w:tc>
        <w:tc>
          <w:tcPr>
            <w:tcW w:w="1627" w:type="dxa"/>
          </w:tcPr>
          <w:p w:rsidR="009348B8" w:rsidRPr="003E2E18" w:rsidRDefault="009348B8" w:rsidP="003206AB">
            <w:pPr>
              <w:spacing w:beforeLines="40" w:before="96" w:after="0"/>
              <w:jc w:val="center"/>
            </w:pPr>
            <w:r w:rsidRPr="003E2E18">
              <w:rPr>
                <w:color w:val="000000"/>
              </w:rPr>
              <w:t>10</w:t>
            </w:r>
          </w:p>
        </w:tc>
        <w:tc>
          <w:tcPr>
            <w:tcW w:w="2071" w:type="dxa"/>
          </w:tcPr>
          <w:p w:rsidR="009348B8" w:rsidRPr="003E2E18" w:rsidRDefault="001C4248" w:rsidP="003206AB">
            <w:pPr>
              <w:spacing w:beforeLines="40" w:before="96" w:after="0"/>
              <w:jc w:val="right"/>
            </w:pPr>
            <w:r w:rsidRPr="003E2E18">
              <w:rPr>
                <w:rFonts w:cstheme="minorHAnsi"/>
                <w:szCs w:val="22"/>
              </w:rPr>
              <w:t>143,152</w:t>
            </w:r>
          </w:p>
        </w:tc>
        <w:tc>
          <w:tcPr>
            <w:tcW w:w="1775" w:type="dxa"/>
          </w:tcPr>
          <w:p w:rsidR="009348B8" w:rsidRPr="003E2E18" w:rsidRDefault="00380101" w:rsidP="00F2616A">
            <w:pPr>
              <w:spacing w:beforeLines="40" w:before="96" w:after="0"/>
              <w:jc w:val="right"/>
            </w:pPr>
            <w:r w:rsidRPr="003E2E18">
              <w:rPr>
                <w:rFonts w:cstheme="minorHAnsi"/>
                <w:szCs w:val="22"/>
              </w:rPr>
              <w:t>108,413</w:t>
            </w:r>
          </w:p>
        </w:tc>
      </w:tr>
      <w:tr w:rsidR="00380101" w:rsidRPr="004809AF" w:rsidTr="009348B8">
        <w:trPr>
          <w:cantSplit/>
          <w:jc w:val="center"/>
        </w:trPr>
        <w:tc>
          <w:tcPr>
            <w:tcW w:w="3712" w:type="dxa"/>
          </w:tcPr>
          <w:p w:rsidR="00380101" w:rsidRPr="003E2E18" w:rsidRDefault="00380101" w:rsidP="003206AB">
            <w:pPr>
              <w:spacing w:beforeLines="40" w:before="96" w:after="0"/>
            </w:pPr>
            <w:r w:rsidRPr="003E2E18">
              <w:rPr>
                <w:color w:val="000000"/>
              </w:rPr>
              <w:t>Employee Benefits</w:t>
            </w:r>
          </w:p>
        </w:tc>
        <w:tc>
          <w:tcPr>
            <w:tcW w:w="1627" w:type="dxa"/>
          </w:tcPr>
          <w:p w:rsidR="00380101" w:rsidRPr="003E2E18" w:rsidRDefault="00380101" w:rsidP="003206AB">
            <w:pPr>
              <w:spacing w:beforeLines="40" w:before="96" w:after="0"/>
              <w:jc w:val="center"/>
            </w:pPr>
            <w:r w:rsidRPr="003E2E18">
              <w:rPr>
                <w:color w:val="000000"/>
              </w:rPr>
              <w:t>11</w:t>
            </w:r>
          </w:p>
        </w:tc>
        <w:tc>
          <w:tcPr>
            <w:tcW w:w="2071" w:type="dxa"/>
            <w:tcBorders>
              <w:bottom w:val="single" w:sz="4" w:space="0" w:color="auto"/>
            </w:tcBorders>
          </w:tcPr>
          <w:p w:rsidR="00380101" w:rsidRPr="003E2E18" w:rsidRDefault="00380101" w:rsidP="001C4248">
            <w:pPr>
              <w:spacing w:beforeLines="40" w:before="96" w:after="0"/>
              <w:jc w:val="right"/>
            </w:pPr>
            <w:r w:rsidRPr="003E2E18">
              <w:rPr>
                <w:szCs w:val="22"/>
              </w:rPr>
              <w:t>6</w:t>
            </w:r>
            <w:r w:rsidR="001C4248" w:rsidRPr="003E2E18">
              <w:rPr>
                <w:szCs w:val="22"/>
              </w:rPr>
              <w:t>6,470</w:t>
            </w:r>
          </w:p>
        </w:tc>
        <w:tc>
          <w:tcPr>
            <w:tcW w:w="1775" w:type="dxa"/>
            <w:tcBorders>
              <w:bottom w:val="single" w:sz="4" w:space="0" w:color="auto"/>
            </w:tcBorders>
          </w:tcPr>
          <w:p w:rsidR="00380101" w:rsidRPr="003E2E18" w:rsidRDefault="00380101" w:rsidP="0033488A">
            <w:pPr>
              <w:spacing w:beforeLines="40" w:before="96" w:after="0"/>
              <w:jc w:val="right"/>
            </w:pPr>
            <w:r w:rsidRPr="003E2E18">
              <w:rPr>
                <w:szCs w:val="22"/>
              </w:rPr>
              <w:t>60,494</w:t>
            </w:r>
          </w:p>
        </w:tc>
      </w:tr>
      <w:tr w:rsidR="00380101" w:rsidRPr="004809AF" w:rsidTr="009348B8">
        <w:trPr>
          <w:cantSplit/>
          <w:jc w:val="center"/>
        </w:trPr>
        <w:tc>
          <w:tcPr>
            <w:tcW w:w="3712" w:type="dxa"/>
          </w:tcPr>
          <w:p w:rsidR="00380101" w:rsidRPr="003E2E18" w:rsidRDefault="00380101" w:rsidP="003206AB">
            <w:pPr>
              <w:spacing w:beforeLines="40" w:before="96" w:after="0"/>
              <w:rPr>
                <w:b/>
              </w:rPr>
            </w:pPr>
            <w:r w:rsidRPr="003E2E18">
              <w:rPr>
                <w:b/>
                <w:bCs/>
                <w:color w:val="000000"/>
              </w:rPr>
              <w:t>Total Current Liabilities</w:t>
            </w:r>
          </w:p>
        </w:tc>
        <w:tc>
          <w:tcPr>
            <w:tcW w:w="1627" w:type="dxa"/>
          </w:tcPr>
          <w:p w:rsidR="00380101" w:rsidRPr="003E2E18" w:rsidRDefault="00380101" w:rsidP="003206AB">
            <w:pPr>
              <w:spacing w:beforeLines="40" w:before="96" w:after="0"/>
              <w:jc w:val="center"/>
            </w:pPr>
          </w:p>
        </w:tc>
        <w:tc>
          <w:tcPr>
            <w:tcW w:w="2071" w:type="dxa"/>
            <w:tcBorders>
              <w:top w:val="single" w:sz="4" w:space="0" w:color="auto"/>
            </w:tcBorders>
          </w:tcPr>
          <w:p w:rsidR="00380101" w:rsidRPr="003E2E18" w:rsidRDefault="001C4248" w:rsidP="003206AB">
            <w:pPr>
              <w:spacing w:beforeLines="40" w:before="96" w:after="0"/>
              <w:jc w:val="right"/>
            </w:pPr>
            <w:r w:rsidRPr="003E2E18">
              <w:t>209,622</w:t>
            </w:r>
          </w:p>
        </w:tc>
        <w:tc>
          <w:tcPr>
            <w:tcW w:w="1775" w:type="dxa"/>
            <w:tcBorders>
              <w:top w:val="single" w:sz="4" w:space="0" w:color="auto"/>
            </w:tcBorders>
          </w:tcPr>
          <w:p w:rsidR="00380101" w:rsidRPr="003E2E18" w:rsidRDefault="00380101" w:rsidP="0033488A">
            <w:pPr>
              <w:spacing w:beforeLines="40" w:before="96" w:after="0"/>
              <w:jc w:val="right"/>
            </w:pPr>
            <w:r w:rsidRPr="003E2E18">
              <w:t>168,907</w:t>
            </w:r>
          </w:p>
        </w:tc>
      </w:tr>
      <w:tr w:rsidR="009348B8" w:rsidRPr="004809AF" w:rsidTr="009348B8">
        <w:trPr>
          <w:cantSplit/>
          <w:jc w:val="center"/>
        </w:trPr>
        <w:tc>
          <w:tcPr>
            <w:tcW w:w="3712" w:type="dxa"/>
          </w:tcPr>
          <w:p w:rsidR="009348B8" w:rsidRPr="0044141E" w:rsidRDefault="009348B8" w:rsidP="003206AB">
            <w:pPr>
              <w:spacing w:beforeLines="40" w:before="96" w:after="0"/>
              <w:rPr>
                <w:b/>
              </w:rPr>
            </w:pPr>
            <w:r w:rsidRPr="0044141E">
              <w:rPr>
                <w:b/>
                <w:bCs/>
                <w:color w:val="000000"/>
              </w:rPr>
              <w:t>Non-Current Liabilities</w:t>
            </w:r>
          </w:p>
        </w:tc>
        <w:tc>
          <w:tcPr>
            <w:tcW w:w="1627" w:type="dxa"/>
          </w:tcPr>
          <w:p w:rsidR="009348B8" w:rsidRPr="004809AF" w:rsidRDefault="009348B8" w:rsidP="003206AB">
            <w:pPr>
              <w:spacing w:beforeLines="40" w:before="96" w:after="0"/>
              <w:jc w:val="center"/>
            </w:pPr>
          </w:p>
        </w:tc>
        <w:tc>
          <w:tcPr>
            <w:tcW w:w="2071" w:type="dxa"/>
          </w:tcPr>
          <w:p w:rsidR="009348B8" w:rsidRPr="004809AF" w:rsidRDefault="009348B8" w:rsidP="003206AB">
            <w:pPr>
              <w:spacing w:beforeLines="40" w:before="96" w:after="0"/>
              <w:jc w:val="right"/>
            </w:pPr>
          </w:p>
        </w:tc>
        <w:tc>
          <w:tcPr>
            <w:tcW w:w="1775" w:type="dxa"/>
          </w:tcPr>
          <w:p w:rsidR="009348B8" w:rsidRPr="004809AF" w:rsidRDefault="009348B8" w:rsidP="00F2616A">
            <w:pPr>
              <w:spacing w:beforeLines="40" w:before="96" w:after="0"/>
              <w:jc w:val="right"/>
            </w:pPr>
          </w:p>
        </w:tc>
      </w:tr>
      <w:tr w:rsidR="00380101" w:rsidRPr="003E2E18" w:rsidTr="009348B8">
        <w:trPr>
          <w:cantSplit/>
          <w:jc w:val="center"/>
        </w:trPr>
        <w:tc>
          <w:tcPr>
            <w:tcW w:w="3712" w:type="dxa"/>
          </w:tcPr>
          <w:p w:rsidR="00380101" w:rsidRPr="003E2E18" w:rsidRDefault="00380101" w:rsidP="003206AB">
            <w:pPr>
              <w:spacing w:beforeLines="40" w:before="96" w:after="0"/>
            </w:pPr>
            <w:r w:rsidRPr="003E2E18">
              <w:rPr>
                <w:color w:val="000000"/>
              </w:rPr>
              <w:t>Employee Benefits</w:t>
            </w:r>
          </w:p>
        </w:tc>
        <w:tc>
          <w:tcPr>
            <w:tcW w:w="1627" w:type="dxa"/>
          </w:tcPr>
          <w:p w:rsidR="00380101" w:rsidRPr="003E2E18" w:rsidRDefault="00380101" w:rsidP="003206AB">
            <w:pPr>
              <w:spacing w:beforeLines="40" w:before="96" w:after="0"/>
              <w:jc w:val="center"/>
            </w:pPr>
            <w:r w:rsidRPr="003E2E18">
              <w:rPr>
                <w:color w:val="000000"/>
              </w:rPr>
              <w:t>11</w:t>
            </w:r>
          </w:p>
        </w:tc>
        <w:tc>
          <w:tcPr>
            <w:tcW w:w="2071" w:type="dxa"/>
            <w:tcBorders>
              <w:bottom w:val="single" w:sz="4" w:space="0" w:color="auto"/>
            </w:tcBorders>
          </w:tcPr>
          <w:p w:rsidR="00380101" w:rsidRPr="003E2E18" w:rsidRDefault="00F03EAA" w:rsidP="003206AB">
            <w:pPr>
              <w:spacing w:beforeLines="40" w:before="96" w:after="0"/>
              <w:jc w:val="right"/>
            </w:pPr>
            <w:r w:rsidRPr="003E2E18">
              <w:t>105,194</w:t>
            </w:r>
          </w:p>
        </w:tc>
        <w:tc>
          <w:tcPr>
            <w:tcW w:w="1775" w:type="dxa"/>
            <w:tcBorders>
              <w:bottom w:val="single" w:sz="4" w:space="0" w:color="auto"/>
            </w:tcBorders>
          </w:tcPr>
          <w:p w:rsidR="00380101" w:rsidRPr="003E2E18" w:rsidRDefault="00380101" w:rsidP="0033488A">
            <w:pPr>
              <w:spacing w:beforeLines="40" w:before="96" w:after="0"/>
              <w:jc w:val="right"/>
            </w:pPr>
            <w:r w:rsidRPr="003E2E18">
              <w:t>89,953</w:t>
            </w:r>
          </w:p>
        </w:tc>
      </w:tr>
      <w:tr w:rsidR="00380101" w:rsidRPr="004809AF" w:rsidTr="009348B8">
        <w:trPr>
          <w:cantSplit/>
          <w:jc w:val="center"/>
        </w:trPr>
        <w:tc>
          <w:tcPr>
            <w:tcW w:w="3712" w:type="dxa"/>
          </w:tcPr>
          <w:p w:rsidR="00380101" w:rsidRPr="003E2E18" w:rsidRDefault="00380101" w:rsidP="003206AB">
            <w:pPr>
              <w:spacing w:beforeLines="40" w:before="96" w:after="0"/>
              <w:rPr>
                <w:b/>
              </w:rPr>
            </w:pPr>
            <w:r w:rsidRPr="003E2E18">
              <w:rPr>
                <w:b/>
                <w:bCs/>
                <w:color w:val="000000"/>
              </w:rPr>
              <w:t>Total Non-Current Liabilities</w:t>
            </w:r>
          </w:p>
        </w:tc>
        <w:tc>
          <w:tcPr>
            <w:tcW w:w="1627" w:type="dxa"/>
          </w:tcPr>
          <w:p w:rsidR="00380101" w:rsidRPr="003E2E18" w:rsidRDefault="00380101" w:rsidP="003206AB">
            <w:pPr>
              <w:spacing w:beforeLines="40" w:before="96" w:after="0"/>
              <w:jc w:val="center"/>
            </w:pPr>
          </w:p>
        </w:tc>
        <w:tc>
          <w:tcPr>
            <w:tcW w:w="2071" w:type="dxa"/>
            <w:tcBorders>
              <w:top w:val="single" w:sz="4" w:space="0" w:color="auto"/>
            </w:tcBorders>
          </w:tcPr>
          <w:p w:rsidR="00380101" w:rsidRPr="003E2E18" w:rsidRDefault="00F03EAA" w:rsidP="003206AB">
            <w:pPr>
              <w:spacing w:beforeLines="40" w:before="96" w:after="0"/>
              <w:jc w:val="right"/>
            </w:pPr>
            <w:r w:rsidRPr="003E2E18">
              <w:t>105,194</w:t>
            </w:r>
          </w:p>
        </w:tc>
        <w:tc>
          <w:tcPr>
            <w:tcW w:w="1775" w:type="dxa"/>
            <w:tcBorders>
              <w:top w:val="single" w:sz="4" w:space="0" w:color="auto"/>
            </w:tcBorders>
          </w:tcPr>
          <w:p w:rsidR="00380101" w:rsidRPr="003E2E18" w:rsidRDefault="00380101" w:rsidP="0033488A">
            <w:pPr>
              <w:spacing w:beforeLines="40" w:before="96" w:after="0"/>
              <w:jc w:val="right"/>
            </w:pPr>
            <w:r w:rsidRPr="003E2E18">
              <w:t>89,953</w:t>
            </w:r>
          </w:p>
        </w:tc>
      </w:tr>
      <w:tr w:rsidR="00380101" w:rsidRPr="003E2E18" w:rsidTr="009348B8">
        <w:trPr>
          <w:cantSplit/>
          <w:jc w:val="center"/>
        </w:trPr>
        <w:tc>
          <w:tcPr>
            <w:tcW w:w="3712" w:type="dxa"/>
          </w:tcPr>
          <w:p w:rsidR="00380101" w:rsidRPr="003E2E18" w:rsidRDefault="00380101" w:rsidP="003206AB">
            <w:pPr>
              <w:spacing w:beforeLines="40" w:before="96" w:after="0"/>
              <w:rPr>
                <w:b/>
              </w:rPr>
            </w:pPr>
            <w:r w:rsidRPr="003E2E18">
              <w:rPr>
                <w:b/>
                <w:bCs/>
                <w:color w:val="000000"/>
              </w:rPr>
              <w:t>Total Liabilities</w:t>
            </w:r>
          </w:p>
        </w:tc>
        <w:tc>
          <w:tcPr>
            <w:tcW w:w="1627" w:type="dxa"/>
          </w:tcPr>
          <w:p w:rsidR="00380101" w:rsidRPr="003E2E18" w:rsidRDefault="00380101" w:rsidP="003206AB">
            <w:pPr>
              <w:spacing w:beforeLines="40" w:before="96" w:after="0"/>
              <w:jc w:val="center"/>
            </w:pPr>
          </w:p>
        </w:tc>
        <w:tc>
          <w:tcPr>
            <w:tcW w:w="2071" w:type="dxa"/>
            <w:tcBorders>
              <w:top w:val="single" w:sz="4" w:space="0" w:color="auto"/>
              <w:bottom w:val="single" w:sz="4" w:space="0" w:color="auto"/>
            </w:tcBorders>
          </w:tcPr>
          <w:p w:rsidR="00380101" w:rsidRPr="003E2E18" w:rsidRDefault="00E33D10" w:rsidP="003206AB">
            <w:pPr>
              <w:spacing w:beforeLines="40" w:before="96" w:after="0"/>
              <w:jc w:val="right"/>
            </w:pPr>
            <w:r w:rsidRPr="003E2E18">
              <w:t>314,816</w:t>
            </w:r>
          </w:p>
        </w:tc>
        <w:tc>
          <w:tcPr>
            <w:tcW w:w="1775" w:type="dxa"/>
            <w:tcBorders>
              <w:top w:val="single" w:sz="4" w:space="0" w:color="auto"/>
              <w:bottom w:val="single" w:sz="4" w:space="0" w:color="auto"/>
            </w:tcBorders>
          </w:tcPr>
          <w:p w:rsidR="00380101" w:rsidRPr="003E2E18" w:rsidRDefault="00380101" w:rsidP="0033488A">
            <w:pPr>
              <w:spacing w:beforeLines="40" w:before="96" w:after="0"/>
              <w:jc w:val="right"/>
            </w:pPr>
            <w:r w:rsidRPr="003E2E18">
              <w:t>258,860</w:t>
            </w:r>
          </w:p>
        </w:tc>
      </w:tr>
      <w:tr w:rsidR="00380101" w:rsidRPr="004809AF" w:rsidTr="009348B8">
        <w:trPr>
          <w:cantSplit/>
          <w:jc w:val="center"/>
        </w:trPr>
        <w:tc>
          <w:tcPr>
            <w:tcW w:w="3712" w:type="dxa"/>
          </w:tcPr>
          <w:p w:rsidR="00380101" w:rsidRPr="003E2E18" w:rsidRDefault="00380101" w:rsidP="003206AB">
            <w:pPr>
              <w:spacing w:beforeLines="40" w:before="96" w:after="0"/>
              <w:rPr>
                <w:b/>
              </w:rPr>
            </w:pPr>
            <w:r w:rsidRPr="003E2E18">
              <w:rPr>
                <w:b/>
                <w:bCs/>
                <w:color w:val="000000"/>
              </w:rPr>
              <w:t>Net Assets</w:t>
            </w:r>
          </w:p>
        </w:tc>
        <w:tc>
          <w:tcPr>
            <w:tcW w:w="1627" w:type="dxa"/>
          </w:tcPr>
          <w:p w:rsidR="00380101" w:rsidRPr="003E2E18" w:rsidRDefault="00380101" w:rsidP="003206AB">
            <w:pPr>
              <w:spacing w:beforeLines="40" w:before="96" w:after="0"/>
              <w:jc w:val="center"/>
            </w:pPr>
          </w:p>
        </w:tc>
        <w:tc>
          <w:tcPr>
            <w:tcW w:w="2071" w:type="dxa"/>
            <w:tcBorders>
              <w:top w:val="single" w:sz="4" w:space="0" w:color="auto"/>
              <w:bottom w:val="double" w:sz="4" w:space="0" w:color="auto"/>
            </w:tcBorders>
          </w:tcPr>
          <w:p w:rsidR="00380101" w:rsidRPr="003E2E18" w:rsidRDefault="00BC1BE6" w:rsidP="00550D73">
            <w:pPr>
              <w:spacing w:beforeLines="40" w:before="96" w:after="0"/>
              <w:jc w:val="right"/>
            </w:pPr>
            <w:r w:rsidRPr="003E2E18">
              <w:t>5,561,62</w:t>
            </w:r>
            <w:r w:rsidR="00550D73" w:rsidRPr="003E2E18">
              <w:t>5</w:t>
            </w:r>
          </w:p>
        </w:tc>
        <w:tc>
          <w:tcPr>
            <w:tcW w:w="1775" w:type="dxa"/>
            <w:tcBorders>
              <w:top w:val="single" w:sz="4" w:space="0" w:color="auto"/>
              <w:bottom w:val="double" w:sz="4" w:space="0" w:color="auto"/>
            </w:tcBorders>
          </w:tcPr>
          <w:p w:rsidR="00380101" w:rsidRPr="003E2E18" w:rsidRDefault="00380101" w:rsidP="0033488A">
            <w:pPr>
              <w:spacing w:beforeLines="40" w:before="96" w:after="0"/>
              <w:jc w:val="right"/>
            </w:pPr>
            <w:r w:rsidRPr="003E2E18">
              <w:t>6,989,328</w:t>
            </w:r>
          </w:p>
        </w:tc>
      </w:tr>
      <w:tr w:rsidR="009348B8" w:rsidRPr="004809AF" w:rsidTr="009348B8">
        <w:trPr>
          <w:cantSplit/>
          <w:jc w:val="center"/>
        </w:trPr>
        <w:tc>
          <w:tcPr>
            <w:tcW w:w="3712" w:type="dxa"/>
          </w:tcPr>
          <w:p w:rsidR="009348B8" w:rsidRPr="004809AF" w:rsidRDefault="009348B8" w:rsidP="003206AB">
            <w:pPr>
              <w:spacing w:beforeLines="40" w:before="96" w:after="0"/>
            </w:pPr>
            <w:r w:rsidRPr="0044141E">
              <w:rPr>
                <w:b/>
                <w:bCs/>
                <w:color w:val="000000"/>
              </w:rPr>
              <w:t>Equity</w:t>
            </w:r>
          </w:p>
        </w:tc>
        <w:tc>
          <w:tcPr>
            <w:tcW w:w="1627" w:type="dxa"/>
          </w:tcPr>
          <w:p w:rsidR="009348B8" w:rsidRPr="004809AF" w:rsidRDefault="009348B8" w:rsidP="003206AB">
            <w:pPr>
              <w:spacing w:beforeLines="40" w:before="96" w:after="0"/>
              <w:jc w:val="center"/>
            </w:pPr>
          </w:p>
        </w:tc>
        <w:tc>
          <w:tcPr>
            <w:tcW w:w="2071" w:type="dxa"/>
          </w:tcPr>
          <w:p w:rsidR="009348B8" w:rsidRPr="004809AF" w:rsidRDefault="009348B8" w:rsidP="003206AB">
            <w:pPr>
              <w:spacing w:beforeLines="40" w:before="96" w:after="0"/>
              <w:jc w:val="right"/>
            </w:pPr>
          </w:p>
        </w:tc>
        <w:tc>
          <w:tcPr>
            <w:tcW w:w="1775" w:type="dxa"/>
          </w:tcPr>
          <w:p w:rsidR="009348B8" w:rsidRPr="004809AF" w:rsidRDefault="009348B8" w:rsidP="00F2616A">
            <w:pPr>
              <w:spacing w:beforeLines="40" w:before="96" w:after="0"/>
              <w:jc w:val="right"/>
            </w:pPr>
          </w:p>
        </w:tc>
      </w:tr>
      <w:tr w:rsidR="00380101" w:rsidRPr="003E2E18" w:rsidTr="009348B8">
        <w:trPr>
          <w:cantSplit/>
          <w:jc w:val="center"/>
        </w:trPr>
        <w:tc>
          <w:tcPr>
            <w:tcW w:w="3712" w:type="dxa"/>
          </w:tcPr>
          <w:p w:rsidR="00380101" w:rsidRPr="003E2E18" w:rsidRDefault="00380101" w:rsidP="003206AB">
            <w:pPr>
              <w:spacing w:beforeLines="40" w:before="96" w:after="0"/>
            </w:pPr>
            <w:r w:rsidRPr="003E2E18">
              <w:rPr>
                <w:color w:val="000000"/>
              </w:rPr>
              <w:t>Reserves</w:t>
            </w:r>
          </w:p>
        </w:tc>
        <w:tc>
          <w:tcPr>
            <w:tcW w:w="1627" w:type="dxa"/>
          </w:tcPr>
          <w:p w:rsidR="00380101" w:rsidRPr="003E2E18" w:rsidRDefault="00380101" w:rsidP="003206AB">
            <w:pPr>
              <w:spacing w:beforeLines="40" w:before="96" w:after="0"/>
              <w:jc w:val="center"/>
            </w:pPr>
            <w:r w:rsidRPr="003E2E18">
              <w:rPr>
                <w:color w:val="000000"/>
              </w:rPr>
              <w:t>12</w:t>
            </w:r>
          </w:p>
        </w:tc>
        <w:tc>
          <w:tcPr>
            <w:tcW w:w="2071" w:type="dxa"/>
          </w:tcPr>
          <w:p w:rsidR="00380101" w:rsidRPr="003E2E18" w:rsidRDefault="00380101" w:rsidP="003206AB">
            <w:pPr>
              <w:spacing w:beforeLines="40" w:before="96" w:after="0"/>
              <w:jc w:val="right"/>
            </w:pPr>
            <w:r w:rsidRPr="003E2E18">
              <w:t>448,100</w:t>
            </w:r>
          </w:p>
        </w:tc>
        <w:tc>
          <w:tcPr>
            <w:tcW w:w="1775" w:type="dxa"/>
          </w:tcPr>
          <w:p w:rsidR="00380101" w:rsidRPr="003E2E18" w:rsidRDefault="00380101" w:rsidP="0033488A">
            <w:pPr>
              <w:spacing w:beforeLines="40" w:before="96" w:after="0"/>
              <w:jc w:val="right"/>
            </w:pPr>
            <w:r w:rsidRPr="003E2E18">
              <w:t>448,100</w:t>
            </w:r>
          </w:p>
        </w:tc>
      </w:tr>
      <w:tr w:rsidR="00380101" w:rsidRPr="003E2E18" w:rsidTr="009348B8">
        <w:trPr>
          <w:cantSplit/>
          <w:jc w:val="center"/>
        </w:trPr>
        <w:tc>
          <w:tcPr>
            <w:tcW w:w="3712" w:type="dxa"/>
          </w:tcPr>
          <w:p w:rsidR="00380101" w:rsidRPr="003E2E18" w:rsidRDefault="00380101" w:rsidP="003206AB">
            <w:pPr>
              <w:spacing w:beforeLines="40" w:before="96" w:after="0"/>
            </w:pPr>
            <w:r w:rsidRPr="003E2E18">
              <w:rPr>
                <w:color w:val="000000"/>
              </w:rPr>
              <w:t>Retained Profits</w:t>
            </w:r>
          </w:p>
        </w:tc>
        <w:tc>
          <w:tcPr>
            <w:tcW w:w="1627" w:type="dxa"/>
          </w:tcPr>
          <w:p w:rsidR="00380101" w:rsidRPr="003E2E18" w:rsidRDefault="00380101" w:rsidP="003206AB">
            <w:pPr>
              <w:spacing w:beforeLines="40" w:before="96" w:after="0"/>
              <w:jc w:val="center"/>
            </w:pPr>
            <w:r w:rsidRPr="003E2E18">
              <w:rPr>
                <w:color w:val="000000"/>
              </w:rPr>
              <w:t>13</w:t>
            </w:r>
          </w:p>
        </w:tc>
        <w:tc>
          <w:tcPr>
            <w:tcW w:w="2071" w:type="dxa"/>
          </w:tcPr>
          <w:p w:rsidR="00380101" w:rsidRPr="003E2E18" w:rsidRDefault="00BC1BE6" w:rsidP="00BC1BE6">
            <w:pPr>
              <w:spacing w:beforeLines="40" w:before="96" w:after="0"/>
              <w:jc w:val="right"/>
            </w:pPr>
            <w:r w:rsidRPr="003E2E18">
              <w:t>5,113,52</w:t>
            </w:r>
            <w:r w:rsidR="002503EE" w:rsidRPr="003E2E18">
              <w:t>5</w:t>
            </w:r>
          </w:p>
        </w:tc>
        <w:tc>
          <w:tcPr>
            <w:tcW w:w="1775" w:type="dxa"/>
          </w:tcPr>
          <w:p w:rsidR="00380101" w:rsidRPr="003E2E18" w:rsidRDefault="00380101" w:rsidP="0033488A">
            <w:pPr>
              <w:spacing w:beforeLines="40" w:before="96" w:after="0"/>
              <w:jc w:val="right"/>
            </w:pPr>
            <w:r w:rsidRPr="003E2E18">
              <w:t>6,541,228</w:t>
            </w:r>
          </w:p>
        </w:tc>
      </w:tr>
      <w:tr w:rsidR="00380101" w:rsidRPr="00985BEA" w:rsidTr="009348B8">
        <w:trPr>
          <w:cantSplit/>
          <w:jc w:val="center"/>
        </w:trPr>
        <w:tc>
          <w:tcPr>
            <w:tcW w:w="3712" w:type="dxa"/>
          </w:tcPr>
          <w:p w:rsidR="00380101" w:rsidRPr="003E2E18" w:rsidRDefault="00380101" w:rsidP="003206AB">
            <w:pPr>
              <w:spacing w:beforeLines="40" w:before="96" w:after="0"/>
              <w:rPr>
                <w:b/>
              </w:rPr>
            </w:pPr>
            <w:r w:rsidRPr="003E2E18">
              <w:rPr>
                <w:b/>
                <w:bCs/>
                <w:color w:val="000000"/>
              </w:rPr>
              <w:t>Total Equity</w:t>
            </w:r>
          </w:p>
        </w:tc>
        <w:tc>
          <w:tcPr>
            <w:tcW w:w="1627" w:type="dxa"/>
          </w:tcPr>
          <w:p w:rsidR="00380101" w:rsidRPr="003E2E18" w:rsidRDefault="00380101" w:rsidP="003206AB">
            <w:pPr>
              <w:spacing w:beforeLines="40" w:before="96" w:after="0"/>
              <w:jc w:val="center"/>
            </w:pPr>
          </w:p>
        </w:tc>
        <w:tc>
          <w:tcPr>
            <w:tcW w:w="2071" w:type="dxa"/>
            <w:tcBorders>
              <w:top w:val="single" w:sz="4" w:space="0" w:color="auto"/>
              <w:bottom w:val="double" w:sz="4" w:space="0" w:color="auto"/>
            </w:tcBorders>
          </w:tcPr>
          <w:p w:rsidR="00380101" w:rsidRPr="003E2E18" w:rsidRDefault="00BC1BE6" w:rsidP="003206AB">
            <w:pPr>
              <w:spacing w:beforeLines="40" w:before="96" w:after="0"/>
              <w:jc w:val="right"/>
            </w:pPr>
            <w:r w:rsidRPr="003E2E18">
              <w:t>5</w:t>
            </w:r>
            <w:r w:rsidR="002503EE" w:rsidRPr="003E2E18">
              <w:t>,561,625</w:t>
            </w:r>
          </w:p>
        </w:tc>
        <w:tc>
          <w:tcPr>
            <w:tcW w:w="1775" w:type="dxa"/>
            <w:tcBorders>
              <w:top w:val="single" w:sz="4" w:space="0" w:color="auto"/>
              <w:bottom w:val="double" w:sz="4" w:space="0" w:color="auto"/>
            </w:tcBorders>
          </w:tcPr>
          <w:p w:rsidR="00380101" w:rsidRPr="003E2E18" w:rsidRDefault="00380101" w:rsidP="0033488A">
            <w:pPr>
              <w:spacing w:beforeLines="40" w:before="96" w:after="0"/>
              <w:jc w:val="right"/>
            </w:pPr>
            <w:r w:rsidRPr="003E2E18">
              <w:t>6,989,328</w:t>
            </w:r>
          </w:p>
        </w:tc>
      </w:tr>
    </w:tbl>
    <w:p w:rsidR="00D2400B" w:rsidRDefault="00D2400B" w:rsidP="00712543">
      <w:pPr>
        <w:pStyle w:val="Quote"/>
        <w:spacing w:before="2280"/>
        <w:jc w:val="center"/>
      </w:pPr>
      <w:r w:rsidRPr="00ED4ED0">
        <w:t>The accompanying notes form part of these financial statements</w:t>
      </w:r>
      <w:r>
        <w:br w:type="page"/>
      </w:r>
    </w:p>
    <w:p w:rsidR="00D2400B" w:rsidRPr="003226E6" w:rsidRDefault="00D2400B" w:rsidP="000C5471">
      <w:pPr>
        <w:pStyle w:val="Heading1"/>
        <w:rPr>
          <w:sz w:val="24"/>
          <w:szCs w:val="24"/>
        </w:rPr>
      </w:pPr>
      <w:bookmarkStart w:id="5" w:name="_Toc402184220"/>
      <w:r w:rsidRPr="003226E6">
        <w:lastRenderedPageBreak/>
        <w:t>Statement of Comprehensive Income</w:t>
      </w:r>
      <w:bookmarkEnd w:id="5"/>
    </w:p>
    <w:p w:rsidR="00D2400B" w:rsidRPr="00ED4ED0" w:rsidRDefault="009348B8" w:rsidP="00515B5E">
      <w:pPr>
        <w:spacing w:after="960"/>
        <w:rPr>
          <w:b/>
          <w:sz w:val="24"/>
          <w:szCs w:val="24"/>
        </w:rPr>
      </w:pPr>
      <w:r>
        <w:rPr>
          <w:b/>
        </w:rPr>
        <w:t xml:space="preserve">For the Year ended 30 June </w:t>
      </w:r>
      <w:r w:rsidR="00985FF4">
        <w:rPr>
          <w:b/>
        </w:rPr>
        <w:t>2015</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tement of comprehensive income items"/>
      </w:tblPr>
      <w:tblGrid>
        <w:gridCol w:w="3876"/>
        <w:gridCol w:w="1537"/>
        <w:gridCol w:w="1677"/>
        <w:gridCol w:w="2095"/>
      </w:tblGrid>
      <w:tr w:rsidR="00D2400B" w:rsidRPr="001E59DB" w:rsidTr="009348B8">
        <w:trPr>
          <w:cnfStyle w:val="100000000000" w:firstRow="1" w:lastRow="0" w:firstColumn="0" w:lastColumn="0" w:oddVBand="0" w:evenVBand="0" w:oddHBand="0" w:evenHBand="0" w:firstRowFirstColumn="0" w:firstRowLastColumn="0" w:lastRowFirstColumn="0" w:lastRowLastColumn="0"/>
          <w:cantSplit/>
          <w:tblHeader/>
          <w:jc w:val="center"/>
        </w:trPr>
        <w:tc>
          <w:tcPr>
            <w:tcW w:w="3876" w:type="dxa"/>
          </w:tcPr>
          <w:p w:rsidR="00D2400B" w:rsidRPr="001E59DB" w:rsidRDefault="00ED4ED0" w:rsidP="00ED4ED0">
            <w:r>
              <w:t>Item</w:t>
            </w:r>
            <w:r w:rsidR="0083231D">
              <w:br/>
            </w:r>
          </w:p>
        </w:tc>
        <w:tc>
          <w:tcPr>
            <w:tcW w:w="1537" w:type="dxa"/>
          </w:tcPr>
          <w:p w:rsidR="00D2400B" w:rsidRPr="001E59DB" w:rsidRDefault="00D2400B" w:rsidP="003206AB">
            <w:pPr>
              <w:jc w:val="center"/>
            </w:pPr>
            <w:r>
              <w:t>Note</w:t>
            </w:r>
          </w:p>
        </w:tc>
        <w:tc>
          <w:tcPr>
            <w:tcW w:w="1677" w:type="dxa"/>
          </w:tcPr>
          <w:p w:rsidR="00D2400B" w:rsidRPr="001E59DB" w:rsidRDefault="00985FF4" w:rsidP="009348B8">
            <w:pPr>
              <w:jc w:val="right"/>
            </w:pPr>
            <w:r>
              <w:rPr>
                <w:color w:val="000000"/>
              </w:rPr>
              <w:t>2015</w:t>
            </w:r>
            <w:r w:rsidR="00ED4ED0">
              <w:rPr>
                <w:color w:val="000000"/>
              </w:rPr>
              <w:br/>
              <w:t>$</w:t>
            </w:r>
          </w:p>
        </w:tc>
        <w:tc>
          <w:tcPr>
            <w:tcW w:w="2095" w:type="dxa"/>
          </w:tcPr>
          <w:p w:rsidR="00D2400B" w:rsidRPr="001E59DB" w:rsidRDefault="00985FF4" w:rsidP="009348B8">
            <w:pPr>
              <w:jc w:val="right"/>
            </w:pPr>
            <w:r>
              <w:rPr>
                <w:color w:val="000000"/>
              </w:rPr>
              <w:t>2014</w:t>
            </w:r>
            <w:r w:rsidR="00ED4ED0">
              <w:rPr>
                <w:color w:val="000000"/>
              </w:rPr>
              <w:br/>
              <w:t>$</w:t>
            </w:r>
          </w:p>
        </w:tc>
      </w:tr>
      <w:tr w:rsidR="00380101" w:rsidRPr="003E2E18" w:rsidTr="009348B8">
        <w:trPr>
          <w:cantSplit/>
          <w:jc w:val="center"/>
        </w:trPr>
        <w:tc>
          <w:tcPr>
            <w:tcW w:w="3876" w:type="dxa"/>
          </w:tcPr>
          <w:p w:rsidR="00380101" w:rsidRPr="003E2E18" w:rsidRDefault="00380101" w:rsidP="00ED4ED0">
            <w:r w:rsidRPr="003E2E18">
              <w:rPr>
                <w:color w:val="000000"/>
              </w:rPr>
              <w:t>Revenue from government and other grants</w:t>
            </w:r>
          </w:p>
        </w:tc>
        <w:tc>
          <w:tcPr>
            <w:tcW w:w="1537" w:type="dxa"/>
          </w:tcPr>
          <w:p w:rsidR="00380101" w:rsidRPr="003E2E18" w:rsidRDefault="00380101" w:rsidP="003206AB">
            <w:pPr>
              <w:jc w:val="center"/>
            </w:pPr>
          </w:p>
        </w:tc>
        <w:tc>
          <w:tcPr>
            <w:tcW w:w="1677" w:type="dxa"/>
          </w:tcPr>
          <w:p w:rsidR="00380101" w:rsidRPr="003E2E18" w:rsidRDefault="00681F05" w:rsidP="003206AB">
            <w:pPr>
              <w:jc w:val="right"/>
            </w:pPr>
            <w:r w:rsidRPr="003E2E18">
              <w:t>30,080</w:t>
            </w:r>
          </w:p>
          <w:p w:rsidR="00380101" w:rsidRPr="003E2E18" w:rsidRDefault="00380101" w:rsidP="003206AB">
            <w:pPr>
              <w:jc w:val="right"/>
            </w:pPr>
          </w:p>
        </w:tc>
        <w:tc>
          <w:tcPr>
            <w:tcW w:w="2095" w:type="dxa"/>
          </w:tcPr>
          <w:p w:rsidR="00380101" w:rsidRPr="003E2E18" w:rsidRDefault="00380101" w:rsidP="0033488A">
            <w:pPr>
              <w:jc w:val="right"/>
            </w:pPr>
            <w:r w:rsidRPr="003E2E18">
              <w:t>30,465</w:t>
            </w:r>
          </w:p>
          <w:p w:rsidR="00380101" w:rsidRPr="003E2E18" w:rsidRDefault="00380101" w:rsidP="0033488A">
            <w:pPr>
              <w:jc w:val="right"/>
            </w:pPr>
          </w:p>
        </w:tc>
      </w:tr>
      <w:tr w:rsidR="00380101" w:rsidRPr="003E2E18" w:rsidTr="009348B8">
        <w:trPr>
          <w:cantSplit/>
          <w:jc w:val="center"/>
        </w:trPr>
        <w:tc>
          <w:tcPr>
            <w:tcW w:w="3876" w:type="dxa"/>
          </w:tcPr>
          <w:p w:rsidR="00380101" w:rsidRPr="003E2E18" w:rsidRDefault="00380101" w:rsidP="00ED4ED0">
            <w:pPr>
              <w:rPr>
                <w:color w:val="000000"/>
              </w:rPr>
            </w:pPr>
            <w:r w:rsidRPr="003E2E18">
              <w:rPr>
                <w:color w:val="000000"/>
              </w:rPr>
              <w:t>Other Revenue</w:t>
            </w:r>
          </w:p>
        </w:tc>
        <w:tc>
          <w:tcPr>
            <w:tcW w:w="1537" w:type="dxa"/>
          </w:tcPr>
          <w:p w:rsidR="00380101" w:rsidRPr="003E2E18" w:rsidRDefault="00380101" w:rsidP="003206AB">
            <w:pPr>
              <w:jc w:val="center"/>
            </w:pPr>
            <w:r w:rsidRPr="003E2E18">
              <w:rPr>
                <w:color w:val="000000"/>
              </w:rPr>
              <w:t>2</w:t>
            </w:r>
          </w:p>
        </w:tc>
        <w:tc>
          <w:tcPr>
            <w:tcW w:w="1677" w:type="dxa"/>
          </w:tcPr>
          <w:p w:rsidR="00380101" w:rsidRPr="003E2E18" w:rsidRDefault="00681F05" w:rsidP="003206AB">
            <w:pPr>
              <w:jc w:val="right"/>
            </w:pPr>
            <w:r w:rsidRPr="003E2E18">
              <w:t>365,312</w:t>
            </w:r>
          </w:p>
        </w:tc>
        <w:tc>
          <w:tcPr>
            <w:tcW w:w="2095" w:type="dxa"/>
          </w:tcPr>
          <w:p w:rsidR="00380101" w:rsidRPr="003E2E18" w:rsidRDefault="00380101" w:rsidP="0033488A">
            <w:pPr>
              <w:jc w:val="right"/>
            </w:pPr>
            <w:r w:rsidRPr="003E2E18">
              <w:t>234,655</w:t>
            </w:r>
          </w:p>
        </w:tc>
      </w:tr>
      <w:tr w:rsidR="00380101" w:rsidRPr="003E2E18" w:rsidTr="009348B8">
        <w:trPr>
          <w:cantSplit/>
          <w:jc w:val="center"/>
        </w:trPr>
        <w:tc>
          <w:tcPr>
            <w:tcW w:w="3876" w:type="dxa"/>
          </w:tcPr>
          <w:p w:rsidR="00380101" w:rsidRPr="003E2E18" w:rsidRDefault="00380101" w:rsidP="00ED4ED0">
            <w:r w:rsidRPr="003E2E18">
              <w:rPr>
                <w:color w:val="000000"/>
              </w:rPr>
              <w:t>Depreciation and amortisation</w:t>
            </w:r>
          </w:p>
        </w:tc>
        <w:tc>
          <w:tcPr>
            <w:tcW w:w="1537" w:type="dxa"/>
          </w:tcPr>
          <w:p w:rsidR="00380101" w:rsidRPr="003E2E18" w:rsidRDefault="00380101" w:rsidP="003206AB">
            <w:pPr>
              <w:jc w:val="center"/>
            </w:pPr>
          </w:p>
        </w:tc>
        <w:tc>
          <w:tcPr>
            <w:tcW w:w="1677" w:type="dxa"/>
          </w:tcPr>
          <w:p w:rsidR="00380101" w:rsidRPr="003E2E18" w:rsidRDefault="00380101" w:rsidP="00681F05">
            <w:pPr>
              <w:jc w:val="right"/>
            </w:pPr>
            <w:r w:rsidRPr="003E2E18">
              <w:t>(</w:t>
            </w:r>
            <w:r w:rsidR="00681F05" w:rsidRPr="003E2E18">
              <w:t>103,198</w:t>
            </w:r>
            <w:r w:rsidRPr="003E2E18">
              <w:t>)</w:t>
            </w:r>
          </w:p>
        </w:tc>
        <w:tc>
          <w:tcPr>
            <w:tcW w:w="2095" w:type="dxa"/>
          </w:tcPr>
          <w:p w:rsidR="00380101" w:rsidRPr="003E2E18" w:rsidRDefault="00380101" w:rsidP="0033488A">
            <w:pPr>
              <w:jc w:val="right"/>
            </w:pPr>
            <w:r w:rsidRPr="003E2E18">
              <w:t>(123,497)</w:t>
            </w:r>
          </w:p>
        </w:tc>
      </w:tr>
      <w:tr w:rsidR="00380101" w:rsidRPr="003E2E18" w:rsidTr="009348B8">
        <w:trPr>
          <w:cantSplit/>
          <w:jc w:val="center"/>
        </w:trPr>
        <w:tc>
          <w:tcPr>
            <w:tcW w:w="3876" w:type="dxa"/>
          </w:tcPr>
          <w:p w:rsidR="00380101" w:rsidRPr="003E2E18" w:rsidRDefault="00380101" w:rsidP="00ED4ED0">
            <w:pPr>
              <w:rPr>
                <w:color w:val="000000"/>
              </w:rPr>
            </w:pPr>
            <w:r w:rsidRPr="003E2E18">
              <w:rPr>
                <w:color w:val="000000"/>
              </w:rPr>
              <w:t>Employee Expense</w:t>
            </w:r>
          </w:p>
        </w:tc>
        <w:tc>
          <w:tcPr>
            <w:tcW w:w="1537" w:type="dxa"/>
          </w:tcPr>
          <w:p w:rsidR="00380101" w:rsidRPr="003E2E18" w:rsidRDefault="00380101" w:rsidP="003206AB">
            <w:pPr>
              <w:jc w:val="center"/>
              <w:rPr>
                <w:color w:val="000000"/>
              </w:rPr>
            </w:pPr>
            <w:r w:rsidRPr="003E2E18">
              <w:rPr>
                <w:color w:val="000000"/>
              </w:rPr>
              <w:t>4</w:t>
            </w:r>
          </w:p>
        </w:tc>
        <w:tc>
          <w:tcPr>
            <w:tcW w:w="1677" w:type="dxa"/>
          </w:tcPr>
          <w:p w:rsidR="00380101" w:rsidRPr="003E2E18" w:rsidRDefault="00380101" w:rsidP="00681F05">
            <w:pPr>
              <w:jc w:val="right"/>
            </w:pPr>
            <w:r w:rsidRPr="003E2E18">
              <w:t>(1,</w:t>
            </w:r>
            <w:r w:rsidR="00681F05" w:rsidRPr="003E2E18">
              <w:t>261,915</w:t>
            </w:r>
            <w:r w:rsidRPr="003E2E18">
              <w:t>)</w:t>
            </w:r>
          </w:p>
        </w:tc>
        <w:tc>
          <w:tcPr>
            <w:tcW w:w="2095" w:type="dxa"/>
          </w:tcPr>
          <w:p w:rsidR="00380101" w:rsidRPr="003E2E18" w:rsidRDefault="00380101" w:rsidP="0033488A">
            <w:pPr>
              <w:jc w:val="right"/>
            </w:pPr>
            <w:r w:rsidRPr="003E2E18">
              <w:t>(1,109,390)</w:t>
            </w:r>
          </w:p>
        </w:tc>
      </w:tr>
      <w:tr w:rsidR="00380101" w:rsidRPr="003E2E18" w:rsidTr="009348B8">
        <w:trPr>
          <w:cantSplit/>
          <w:jc w:val="center"/>
        </w:trPr>
        <w:tc>
          <w:tcPr>
            <w:tcW w:w="3876" w:type="dxa"/>
          </w:tcPr>
          <w:p w:rsidR="00380101" w:rsidRPr="003E2E18" w:rsidRDefault="00380101" w:rsidP="00ED4ED0">
            <w:r w:rsidRPr="003E2E18">
              <w:rPr>
                <w:color w:val="000000"/>
              </w:rPr>
              <w:t>Leased premises expenses</w:t>
            </w:r>
          </w:p>
        </w:tc>
        <w:tc>
          <w:tcPr>
            <w:tcW w:w="1537" w:type="dxa"/>
          </w:tcPr>
          <w:p w:rsidR="00380101" w:rsidRPr="003E2E18" w:rsidRDefault="00380101" w:rsidP="003206AB">
            <w:pPr>
              <w:jc w:val="center"/>
            </w:pPr>
          </w:p>
        </w:tc>
        <w:tc>
          <w:tcPr>
            <w:tcW w:w="1677" w:type="dxa"/>
          </w:tcPr>
          <w:p w:rsidR="00380101" w:rsidRPr="003E2E18" w:rsidRDefault="00380101" w:rsidP="00681F05">
            <w:pPr>
              <w:jc w:val="right"/>
            </w:pPr>
            <w:r w:rsidRPr="003E2E18">
              <w:t>(</w:t>
            </w:r>
            <w:r w:rsidR="00681F05" w:rsidRPr="003E2E18">
              <w:t>124,658</w:t>
            </w:r>
            <w:r w:rsidRPr="003E2E18">
              <w:t>)</w:t>
            </w:r>
          </w:p>
        </w:tc>
        <w:tc>
          <w:tcPr>
            <w:tcW w:w="2095" w:type="dxa"/>
          </w:tcPr>
          <w:p w:rsidR="00380101" w:rsidRPr="003E2E18" w:rsidRDefault="00380101" w:rsidP="0033488A">
            <w:pPr>
              <w:jc w:val="right"/>
            </w:pPr>
            <w:r w:rsidRPr="003E2E18">
              <w:t>(135,529)</w:t>
            </w:r>
          </w:p>
        </w:tc>
      </w:tr>
      <w:tr w:rsidR="00380101" w:rsidRPr="003E2E18" w:rsidTr="009348B8">
        <w:trPr>
          <w:cantSplit/>
          <w:jc w:val="center"/>
        </w:trPr>
        <w:tc>
          <w:tcPr>
            <w:tcW w:w="3876" w:type="dxa"/>
          </w:tcPr>
          <w:p w:rsidR="00380101" w:rsidRPr="003E2E18" w:rsidRDefault="00380101" w:rsidP="00ED4ED0">
            <w:r w:rsidRPr="003E2E18">
              <w:rPr>
                <w:color w:val="000000"/>
              </w:rPr>
              <w:t>Production, cinema and captioning expenses</w:t>
            </w:r>
          </w:p>
        </w:tc>
        <w:tc>
          <w:tcPr>
            <w:tcW w:w="1537" w:type="dxa"/>
          </w:tcPr>
          <w:p w:rsidR="00380101" w:rsidRPr="003E2E18" w:rsidRDefault="00380101" w:rsidP="003206AB">
            <w:pPr>
              <w:jc w:val="center"/>
            </w:pPr>
          </w:p>
        </w:tc>
        <w:tc>
          <w:tcPr>
            <w:tcW w:w="1677" w:type="dxa"/>
          </w:tcPr>
          <w:p w:rsidR="00380101" w:rsidRPr="003E2E18" w:rsidRDefault="00DE52BE" w:rsidP="003206AB">
            <w:pPr>
              <w:jc w:val="right"/>
            </w:pPr>
            <w:r w:rsidRPr="003E2E18">
              <w:t>(250)</w:t>
            </w:r>
          </w:p>
        </w:tc>
        <w:tc>
          <w:tcPr>
            <w:tcW w:w="2095" w:type="dxa"/>
          </w:tcPr>
          <w:p w:rsidR="00380101" w:rsidRPr="003E2E18" w:rsidRDefault="00380101" w:rsidP="0033488A">
            <w:pPr>
              <w:jc w:val="right"/>
            </w:pPr>
            <w:r w:rsidRPr="003E2E18">
              <w:t>-</w:t>
            </w:r>
          </w:p>
        </w:tc>
      </w:tr>
      <w:tr w:rsidR="00380101" w:rsidRPr="003E2E18" w:rsidTr="009348B8">
        <w:trPr>
          <w:cantSplit/>
          <w:jc w:val="center"/>
        </w:trPr>
        <w:tc>
          <w:tcPr>
            <w:tcW w:w="3876" w:type="dxa"/>
          </w:tcPr>
          <w:p w:rsidR="00380101" w:rsidRPr="003E2E18" w:rsidRDefault="00380101" w:rsidP="00ED4ED0">
            <w:r w:rsidRPr="003E2E18">
              <w:rPr>
                <w:color w:val="000000"/>
              </w:rPr>
              <w:t>Travelling Expenses</w:t>
            </w:r>
          </w:p>
        </w:tc>
        <w:tc>
          <w:tcPr>
            <w:tcW w:w="1537" w:type="dxa"/>
          </w:tcPr>
          <w:p w:rsidR="00380101" w:rsidRPr="003E2E18" w:rsidRDefault="00380101" w:rsidP="003206AB">
            <w:pPr>
              <w:jc w:val="center"/>
            </w:pPr>
          </w:p>
        </w:tc>
        <w:tc>
          <w:tcPr>
            <w:tcW w:w="1677" w:type="dxa"/>
          </w:tcPr>
          <w:p w:rsidR="00380101" w:rsidRPr="003E2E18" w:rsidRDefault="00380101" w:rsidP="00DE52BE">
            <w:pPr>
              <w:jc w:val="right"/>
            </w:pPr>
            <w:r w:rsidRPr="003E2E18">
              <w:t>(</w:t>
            </w:r>
            <w:r w:rsidR="00DE52BE" w:rsidRPr="003E2E18">
              <w:t>26,476</w:t>
            </w:r>
            <w:r w:rsidRPr="003E2E18">
              <w:t>)</w:t>
            </w:r>
          </w:p>
        </w:tc>
        <w:tc>
          <w:tcPr>
            <w:tcW w:w="2095" w:type="dxa"/>
          </w:tcPr>
          <w:p w:rsidR="00380101" w:rsidRPr="003E2E18" w:rsidRDefault="00380101" w:rsidP="0033488A">
            <w:pPr>
              <w:jc w:val="right"/>
            </w:pPr>
            <w:r w:rsidRPr="003E2E18">
              <w:t>(23,657)</w:t>
            </w:r>
          </w:p>
        </w:tc>
      </w:tr>
      <w:tr w:rsidR="00380101" w:rsidRPr="003E2E18" w:rsidTr="009348B8">
        <w:trPr>
          <w:cantSplit/>
          <w:jc w:val="center"/>
        </w:trPr>
        <w:tc>
          <w:tcPr>
            <w:tcW w:w="3876" w:type="dxa"/>
          </w:tcPr>
          <w:p w:rsidR="00380101" w:rsidRPr="003E2E18" w:rsidRDefault="00380101" w:rsidP="00ED4ED0">
            <w:pPr>
              <w:rPr>
                <w:color w:val="000000"/>
              </w:rPr>
            </w:pPr>
            <w:r w:rsidRPr="003E2E18">
              <w:rPr>
                <w:color w:val="000000"/>
              </w:rPr>
              <w:t>Other Expenses</w:t>
            </w:r>
          </w:p>
        </w:tc>
        <w:tc>
          <w:tcPr>
            <w:tcW w:w="1537" w:type="dxa"/>
          </w:tcPr>
          <w:p w:rsidR="00380101" w:rsidRPr="003E2E18" w:rsidRDefault="00380101" w:rsidP="003206AB">
            <w:pPr>
              <w:jc w:val="center"/>
              <w:rPr>
                <w:color w:val="000000"/>
              </w:rPr>
            </w:pPr>
          </w:p>
        </w:tc>
        <w:tc>
          <w:tcPr>
            <w:tcW w:w="1677" w:type="dxa"/>
            <w:tcBorders>
              <w:bottom w:val="single" w:sz="4" w:space="0" w:color="auto"/>
            </w:tcBorders>
          </w:tcPr>
          <w:p w:rsidR="00380101" w:rsidRPr="003E2E18" w:rsidRDefault="00380101" w:rsidP="00DE52BE">
            <w:pPr>
              <w:jc w:val="right"/>
              <w:rPr>
                <w:color w:val="000000"/>
              </w:rPr>
            </w:pPr>
            <w:r w:rsidRPr="003E2E18">
              <w:rPr>
                <w:color w:val="000000"/>
              </w:rPr>
              <w:t>(</w:t>
            </w:r>
            <w:r w:rsidR="00DE52BE" w:rsidRPr="003E2E18">
              <w:rPr>
                <w:color w:val="000000"/>
              </w:rPr>
              <w:t>351,745</w:t>
            </w:r>
            <w:r w:rsidRPr="003E2E18">
              <w:rPr>
                <w:color w:val="000000"/>
              </w:rPr>
              <w:t>)</w:t>
            </w:r>
          </w:p>
        </w:tc>
        <w:tc>
          <w:tcPr>
            <w:tcW w:w="2095" w:type="dxa"/>
            <w:tcBorders>
              <w:bottom w:val="single" w:sz="4" w:space="0" w:color="auto"/>
            </w:tcBorders>
          </w:tcPr>
          <w:p w:rsidR="00380101" w:rsidRPr="003E2E18" w:rsidRDefault="00380101" w:rsidP="0033488A">
            <w:pPr>
              <w:jc w:val="right"/>
              <w:rPr>
                <w:color w:val="000000"/>
              </w:rPr>
            </w:pPr>
            <w:r w:rsidRPr="003E2E18">
              <w:rPr>
                <w:color w:val="000000"/>
              </w:rPr>
              <w:t>(353,737)</w:t>
            </w:r>
          </w:p>
        </w:tc>
      </w:tr>
      <w:tr w:rsidR="00380101" w:rsidRPr="003E2E18" w:rsidTr="009348B8">
        <w:trPr>
          <w:cantSplit/>
          <w:jc w:val="center"/>
        </w:trPr>
        <w:tc>
          <w:tcPr>
            <w:tcW w:w="3876" w:type="dxa"/>
          </w:tcPr>
          <w:p w:rsidR="00380101" w:rsidRPr="003E2E18" w:rsidRDefault="00380101" w:rsidP="00ED4ED0">
            <w:pPr>
              <w:rPr>
                <w:b/>
              </w:rPr>
            </w:pPr>
            <w:r w:rsidRPr="003E2E18">
              <w:rPr>
                <w:b/>
              </w:rPr>
              <w:t>Profit/ (Loss) before net financial income</w:t>
            </w:r>
          </w:p>
        </w:tc>
        <w:tc>
          <w:tcPr>
            <w:tcW w:w="1537" w:type="dxa"/>
          </w:tcPr>
          <w:p w:rsidR="00380101" w:rsidRPr="003E2E18" w:rsidRDefault="00380101" w:rsidP="003206AB">
            <w:pPr>
              <w:jc w:val="center"/>
            </w:pPr>
          </w:p>
        </w:tc>
        <w:tc>
          <w:tcPr>
            <w:tcW w:w="1677" w:type="dxa"/>
            <w:tcBorders>
              <w:top w:val="single" w:sz="4" w:space="0" w:color="auto"/>
            </w:tcBorders>
          </w:tcPr>
          <w:p w:rsidR="00380101" w:rsidRPr="003E2E18" w:rsidRDefault="00380101" w:rsidP="00DE52BE">
            <w:pPr>
              <w:jc w:val="right"/>
            </w:pPr>
            <w:r w:rsidRPr="003E2E18">
              <w:t>(1,</w:t>
            </w:r>
            <w:r w:rsidR="00DE52BE" w:rsidRPr="003E2E18">
              <w:t>472,850</w:t>
            </w:r>
            <w:r w:rsidRPr="003E2E18">
              <w:t>)</w:t>
            </w:r>
          </w:p>
        </w:tc>
        <w:tc>
          <w:tcPr>
            <w:tcW w:w="2095" w:type="dxa"/>
            <w:tcBorders>
              <w:top w:val="single" w:sz="4" w:space="0" w:color="auto"/>
            </w:tcBorders>
          </w:tcPr>
          <w:p w:rsidR="00380101" w:rsidRPr="003E2E18" w:rsidRDefault="00380101" w:rsidP="0033488A">
            <w:pPr>
              <w:jc w:val="right"/>
            </w:pPr>
            <w:r w:rsidRPr="003E2E18">
              <w:t>(1,480,690)</w:t>
            </w:r>
          </w:p>
        </w:tc>
      </w:tr>
      <w:tr w:rsidR="00380101" w:rsidRPr="003E2E18" w:rsidTr="009348B8">
        <w:trPr>
          <w:cantSplit/>
          <w:jc w:val="center"/>
        </w:trPr>
        <w:tc>
          <w:tcPr>
            <w:tcW w:w="3876" w:type="dxa"/>
          </w:tcPr>
          <w:p w:rsidR="00380101" w:rsidRPr="003E2E18" w:rsidRDefault="00380101" w:rsidP="00ED4ED0">
            <w:r w:rsidRPr="003E2E18">
              <w:t>Net financial Income (expense)</w:t>
            </w:r>
          </w:p>
        </w:tc>
        <w:tc>
          <w:tcPr>
            <w:tcW w:w="1537" w:type="dxa"/>
          </w:tcPr>
          <w:p w:rsidR="00380101" w:rsidRPr="003E2E18" w:rsidRDefault="00380101" w:rsidP="003206AB">
            <w:pPr>
              <w:jc w:val="center"/>
            </w:pPr>
            <w:r w:rsidRPr="003E2E18">
              <w:t>3</w:t>
            </w:r>
          </w:p>
        </w:tc>
        <w:tc>
          <w:tcPr>
            <w:tcW w:w="1677" w:type="dxa"/>
            <w:tcBorders>
              <w:bottom w:val="single" w:sz="4" w:space="0" w:color="auto"/>
            </w:tcBorders>
          </w:tcPr>
          <w:p w:rsidR="00380101" w:rsidRPr="003E2E18" w:rsidRDefault="00DE52BE" w:rsidP="003206AB">
            <w:pPr>
              <w:jc w:val="right"/>
            </w:pPr>
            <w:r w:rsidRPr="003E2E18">
              <w:t>45,147</w:t>
            </w:r>
          </w:p>
        </w:tc>
        <w:tc>
          <w:tcPr>
            <w:tcW w:w="2095" w:type="dxa"/>
            <w:tcBorders>
              <w:bottom w:val="single" w:sz="4" w:space="0" w:color="auto"/>
            </w:tcBorders>
          </w:tcPr>
          <w:p w:rsidR="00380101" w:rsidRPr="003E2E18" w:rsidRDefault="00380101" w:rsidP="0033488A">
            <w:pPr>
              <w:jc w:val="right"/>
            </w:pPr>
            <w:r w:rsidRPr="003E2E18">
              <w:t>798,002</w:t>
            </w:r>
          </w:p>
        </w:tc>
      </w:tr>
      <w:tr w:rsidR="00380101" w:rsidRPr="003E2E18" w:rsidTr="009348B8">
        <w:trPr>
          <w:cantSplit/>
          <w:jc w:val="center"/>
        </w:trPr>
        <w:tc>
          <w:tcPr>
            <w:tcW w:w="3876" w:type="dxa"/>
          </w:tcPr>
          <w:p w:rsidR="00380101" w:rsidRPr="003E2E18" w:rsidRDefault="00380101" w:rsidP="00ED4ED0">
            <w:pPr>
              <w:rPr>
                <w:b/>
              </w:rPr>
            </w:pPr>
            <w:r w:rsidRPr="003E2E18">
              <w:rPr>
                <w:b/>
              </w:rPr>
              <w:t>Profit/ (Loss) before income tax</w:t>
            </w:r>
          </w:p>
        </w:tc>
        <w:tc>
          <w:tcPr>
            <w:tcW w:w="1537" w:type="dxa"/>
          </w:tcPr>
          <w:p w:rsidR="00380101" w:rsidRPr="003E2E18" w:rsidRDefault="00380101" w:rsidP="003206AB">
            <w:pPr>
              <w:jc w:val="center"/>
            </w:pPr>
          </w:p>
        </w:tc>
        <w:tc>
          <w:tcPr>
            <w:tcW w:w="1677" w:type="dxa"/>
            <w:tcBorders>
              <w:top w:val="single" w:sz="4" w:space="0" w:color="auto"/>
            </w:tcBorders>
          </w:tcPr>
          <w:p w:rsidR="00380101" w:rsidRPr="003E2E18" w:rsidRDefault="00380101" w:rsidP="00DE52BE">
            <w:pPr>
              <w:jc w:val="right"/>
            </w:pPr>
            <w:r w:rsidRPr="003E2E18">
              <w:t>(</w:t>
            </w:r>
            <w:r w:rsidR="00DE52BE" w:rsidRPr="003E2E18">
              <w:t>1,427,703</w:t>
            </w:r>
            <w:r w:rsidRPr="003E2E18">
              <w:t>)</w:t>
            </w:r>
          </w:p>
        </w:tc>
        <w:tc>
          <w:tcPr>
            <w:tcW w:w="2095" w:type="dxa"/>
            <w:tcBorders>
              <w:top w:val="single" w:sz="4" w:space="0" w:color="auto"/>
            </w:tcBorders>
          </w:tcPr>
          <w:p w:rsidR="00380101" w:rsidRPr="003E2E18" w:rsidRDefault="00380101" w:rsidP="0033488A">
            <w:pPr>
              <w:jc w:val="right"/>
            </w:pPr>
            <w:r w:rsidRPr="003E2E18">
              <w:t>(682,688)</w:t>
            </w:r>
          </w:p>
        </w:tc>
      </w:tr>
      <w:tr w:rsidR="00380101" w:rsidRPr="003E2E18" w:rsidTr="009348B8">
        <w:trPr>
          <w:cantSplit/>
          <w:jc w:val="center"/>
        </w:trPr>
        <w:tc>
          <w:tcPr>
            <w:tcW w:w="3876" w:type="dxa"/>
          </w:tcPr>
          <w:p w:rsidR="00380101" w:rsidRPr="003E2E18" w:rsidRDefault="00380101" w:rsidP="00ED4ED0">
            <w:pPr>
              <w:rPr>
                <w:color w:val="000000"/>
              </w:rPr>
            </w:pPr>
            <w:r w:rsidRPr="003E2E18">
              <w:rPr>
                <w:color w:val="000000"/>
              </w:rPr>
              <w:t>Income tax expense</w:t>
            </w:r>
          </w:p>
        </w:tc>
        <w:tc>
          <w:tcPr>
            <w:tcW w:w="1537" w:type="dxa"/>
          </w:tcPr>
          <w:p w:rsidR="00380101" w:rsidRPr="003E2E18" w:rsidRDefault="00380101" w:rsidP="003206AB">
            <w:pPr>
              <w:jc w:val="center"/>
              <w:rPr>
                <w:color w:val="000000"/>
              </w:rPr>
            </w:pPr>
          </w:p>
        </w:tc>
        <w:tc>
          <w:tcPr>
            <w:tcW w:w="1677" w:type="dxa"/>
            <w:tcBorders>
              <w:bottom w:val="single" w:sz="4" w:space="0" w:color="auto"/>
            </w:tcBorders>
          </w:tcPr>
          <w:p w:rsidR="00380101" w:rsidRPr="003E2E18" w:rsidRDefault="00380101" w:rsidP="003206AB">
            <w:pPr>
              <w:jc w:val="right"/>
              <w:rPr>
                <w:color w:val="000000"/>
              </w:rPr>
            </w:pPr>
            <w:r w:rsidRPr="003E2E18">
              <w:rPr>
                <w:color w:val="000000"/>
              </w:rPr>
              <w:t>-</w:t>
            </w:r>
          </w:p>
        </w:tc>
        <w:tc>
          <w:tcPr>
            <w:tcW w:w="2095" w:type="dxa"/>
            <w:tcBorders>
              <w:bottom w:val="single" w:sz="4" w:space="0" w:color="auto"/>
            </w:tcBorders>
          </w:tcPr>
          <w:p w:rsidR="00380101" w:rsidRPr="003E2E18" w:rsidRDefault="00380101" w:rsidP="0033488A">
            <w:pPr>
              <w:jc w:val="right"/>
              <w:rPr>
                <w:color w:val="000000"/>
              </w:rPr>
            </w:pPr>
            <w:r w:rsidRPr="003E2E18">
              <w:rPr>
                <w:color w:val="000000"/>
              </w:rPr>
              <w:t>-</w:t>
            </w:r>
          </w:p>
        </w:tc>
      </w:tr>
      <w:tr w:rsidR="00380101" w:rsidTr="009348B8">
        <w:trPr>
          <w:cantSplit/>
          <w:trHeight w:val="87"/>
          <w:jc w:val="center"/>
        </w:trPr>
        <w:tc>
          <w:tcPr>
            <w:tcW w:w="3876" w:type="dxa"/>
          </w:tcPr>
          <w:p w:rsidR="00380101" w:rsidRPr="003E2E18" w:rsidRDefault="00380101" w:rsidP="00ED4ED0">
            <w:pPr>
              <w:rPr>
                <w:b/>
              </w:rPr>
            </w:pPr>
            <w:r w:rsidRPr="003E2E18">
              <w:rPr>
                <w:b/>
                <w:bCs/>
                <w:color w:val="000000"/>
              </w:rPr>
              <w:t>Profit/ (Loss) after Income Tax</w:t>
            </w:r>
          </w:p>
        </w:tc>
        <w:tc>
          <w:tcPr>
            <w:tcW w:w="1537" w:type="dxa"/>
          </w:tcPr>
          <w:p w:rsidR="00380101" w:rsidRPr="003E2E18" w:rsidRDefault="00380101" w:rsidP="003206AB">
            <w:pPr>
              <w:jc w:val="center"/>
            </w:pPr>
          </w:p>
        </w:tc>
        <w:tc>
          <w:tcPr>
            <w:tcW w:w="1677" w:type="dxa"/>
            <w:tcBorders>
              <w:top w:val="single" w:sz="4" w:space="0" w:color="auto"/>
              <w:bottom w:val="double" w:sz="4" w:space="0" w:color="auto"/>
            </w:tcBorders>
          </w:tcPr>
          <w:p w:rsidR="00380101" w:rsidRPr="003E2E18" w:rsidRDefault="00380101" w:rsidP="00DE52BE">
            <w:pPr>
              <w:spacing w:after="60"/>
              <w:jc w:val="right"/>
            </w:pPr>
            <w:r w:rsidRPr="003E2E18">
              <w:t>(</w:t>
            </w:r>
            <w:r w:rsidR="00DE52BE" w:rsidRPr="003E2E18">
              <w:t>1,427,703</w:t>
            </w:r>
            <w:r w:rsidRPr="003E2E18">
              <w:t>)</w:t>
            </w:r>
          </w:p>
        </w:tc>
        <w:tc>
          <w:tcPr>
            <w:tcW w:w="2095" w:type="dxa"/>
            <w:tcBorders>
              <w:top w:val="single" w:sz="4" w:space="0" w:color="auto"/>
              <w:bottom w:val="double" w:sz="4" w:space="0" w:color="auto"/>
            </w:tcBorders>
          </w:tcPr>
          <w:p w:rsidR="00380101" w:rsidRPr="003E2E18" w:rsidRDefault="00380101" w:rsidP="0033488A">
            <w:pPr>
              <w:spacing w:after="60"/>
              <w:jc w:val="right"/>
            </w:pPr>
            <w:r w:rsidRPr="003E2E18">
              <w:t>(682,688)</w:t>
            </w:r>
          </w:p>
        </w:tc>
      </w:tr>
    </w:tbl>
    <w:p w:rsidR="00D2400B" w:rsidRPr="00ED4ED0" w:rsidRDefault="00D2400B" w:rsidP="00E76067">
      <w:pPr>
        <w:pStyle w:val="Quote"/>
        <w:spacing w:before="3360"/>
        <w:ind w:left="720" w:firstLine="720"/>
        <w:sectPr w:rsidR="00D2400B" w:rsidRPr="00ED4ED0" w:rsidSect="00134384">
          <w:footerReference w:type="default" r:id="rId21"/>
          <w:pgSz w:w="11904" w:h="16836"/>
          <w:pgMar w:top="1440" w:right="1440" w:bottom="1440" w:left="1440" w:header="720" w:footer="0" w:gutter="0"/>
          <w:cols w:space="720"/>
          <w:noEndnote/>
          <w:docGrid w:linePitch="299"/>
        </w:sectPr>
      </w:pPr>
      <w:r w:rsidRPr="00ED4ED0">
        <w:t>The accompanying notes form part of these financial statements.</w:t>
      </w:r>
    </w:p>
    <w:p w:rsidR="00D2400B" w:rsidRPr="003226E6" w:rsidRDefault="00D2400B" w:rsidP="000C5471">
      <w:pPr>
        <w:pStyle w:val="Heading1"/>
      </w:pPr>
      <w:bookmarkStart w:id="6" w:name="_Toc402184221"/>
      <w:r w:rsidRPr="003226E6">
        <w:lastRenderedPageBreak/>
        <w:t>Statement of Changes in Equity</w:t>
      </w:r>
      <w:bookmarkEnd w:id="6"/>
    </w:p>
    <w:p w:rsidR="00D2400B" w:rsidRPr="000234B1" w:rsidRDefault="009348B8" w:rsidP="00D668F9">
      <w:pPr>
        <w:spacing w:after="960"/>
        <w:rPr>
          <w:b/>
        </w:rPr>
      </w:pPr>
      <w:r>
        <w:rPr>
          <w:b/>
        </w:rPr>
        <w:t xml:space="preserve">For the Year ended 30 June </w:t>
      </w:r>
      <w:r w:rsidR="00985FF4">
        <w:rPr>
          <w:b/>
        </w:rPr>
        <w:t>2015</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tement of changes in equity items"/>
      </w:tblPr>
      <w:tblGrid>
        <w:gridCol w:w="5580"/>
        <w:gridCol w:w="1685"/>
        <w:gridCol w:w="1920"/>
      </w:tblGrid>
      <w:tr w:rsidR="00D2400B" w:rsidRPr="00122E11" w:rsidTr="009348B8">
        <w:trPr>
          <w:cnfStyle w:val="100000000000" w:firstRow="1" w:lastRow="0" w:firstColumn="0" w:lastColumn="0" w:oddVBand="0" w:evenVBand="0" w:oddHBand="0" w:evenHBand="0" w:firstRowFirstColumn="0" w:firstRowLastColumn="0" w:lastRowFirstColumn="0" w:lastRowLastColumn="0"/>
          <w:cantSplit/>
          <w:tblHeader/>
          <w:jc w:val="center"/>
        </w:trPr>
        <w:tc>
          <w:tcPr>
            <w:tcW w:w="5580" w:type="dxa"/>
          </w:tcPr>
          <w:p w:rsidR="00D2400B" w:rsidRPr="00122E11" w:rsidRDefault="00C2688A" w:rsidP="00EA1363">
            <w:pPr>
              <w:jc w:val="both"/>
            </w:pPr>
            <w:r w:rsidRPr="00122E11">
              <w:t>Item</w:t>
            </w:r>
          </w:p>
        </w:tc>
        <w:tc>
          <w:tcPr>
            <w:tcW w:w="1685" w:type="dxa"/>
          </w:tcPr>
          <w:p w:rsidR="00D2400B" w:rsidRPr="00122E11" w:rsidRDefault="00985FF4" w:rsidP="009348B8">
            <w:pPr>
              <w:jc w:val="right"/>
            </w:pPr>
            <w:r w:rsidRPr="00122E11">
              <w:rPr>
                <w:color w:val="000000"/>
              </w:rPr>
              <w:t>2015</w:t>
            </w:r>
            <w:r w:rsidR="00C2688A" w:rsidRPr="00122E11">
              <w:rPr>
                <w:color w:val="000000"/>
              </w:rPr>
              <w:br/>
              <w:t>$</w:t>
            </w:r>
          </w:p>
        </w:tc>
        <w:tc>
          <w:tcPr>
            <w:tcW w:w="1920" w:type="dxa"/>
          </w:tcPr>
          <w:p w:rsidR="00D2400B" w:rsidRPr="00122E11" w:rsidRDefault="00985FF4" w:rsidP="00EA1363">
            <w:pPr>
              <w:jc w:val="right"/>
            </w:pPr>
            <w:r w:rsidRPr="00122E11">
              <w:rPr>
                <w:color w:val="000000"/>
              </w:rPr>
              <w:t>2014</w:t>
            </w:r>
            <w:r w:rsidR="00C2688A" w:rsidRPr="00122E11">
              <w:rPr>
                <w:color w:val="000000"/>
              </w:rPr>
              <w:br/>
              <w:t>$</w:t>
            </w:r>
          </w:p>
        </w:tc>
      </w:tr>
      <w:tr w:rsidR="00CE367A" w:rsidRPr="00122E11" w:rsidTr="009348B8">
        <w:trPr>
          <w:cantSplit/>
          <w:jc w:val="center"/>
        </w:trPr>
        <w:tc>
          <w:tcPr>
            <w:tcW w:w="5580" w:type="dxa"/>
          </w:tcPr>
          <w:p w:rsidR="00CE367A" w:rsidRPr="00122E11" w:rsidRDefault="00CE367A" w:rsidP="00EA1363">
            <w:pPr>
              <w:rPr>
                <w:b/>
              </w:rPr>
            </w:pPr>
            <w:r w:rsidRPr="00122E11">
              <w:rPr>
                <w:b/>
                <w:bCs/>
                <w:color w:val="000000"/>
              </w:rPr>
              <w:t>Opening Balance</w:t>
            </w:r>
          </w:p>
        </w:tc>
        <w:tc>
          <w:tcPr>
            <w:tcW w:w="1685" w:type="dxa"/>
          </w:tcPr>
          <w:p w:rsidR="00CE367A" w:rsidRPr="00122E11" w:rsidRDefault="00286DA0" w:rsidP="00EA1363">
            <w:pPr>
              <w:jc w:val="right"/>
            </w:pPr>
            <w:r w:rsidRPr="00122E11">
              <w:t>6,989,328</w:t>
            </w:r>
          </w:p>
        </w:tc>
        <w:tc>
          <w:tcPr>
            <w:tcW w:w="1920" w:type="dxa"/>
          </w:tcPr>
          <w:p w:rsidR="00CE367A" w:rsidRPr="00122E11" w:rsidRDefault="00CE367A" w:rsidP="0033488A">
            <w:pPr>
              <w:jc w:val="right"/>
            </w:pPr>
            <w:r w:rsidRPr="00122E11">
              <w:t>7,672,016</w:t>
            </w:r>
          </w:p>
        </w:tc>
      </w:tr>
      <w:tr w:rsidR="00CE367A" w:rsidRPr="00122E11" w:rsidTr="009348B8">
        <w:trPr>
          <w:cantSplit/>
          <w:jc w:val="center"/>
        </w:trPr>
        <w:tc>
          <w:tcPr>
            <w:tcW w:w="5580" w:type="dxa"/>
          </w:tcPr>
          <w:p w:rsidR="00CE367A" w:rsidRPr="00122E11" w:rsidRDefault="00CE367A" w:rsidP="00EA1363">
            <w:pPr>
              <w:rPr>
                <w:b/>
              </w:rPr>
            </w:pPr>
            <w:r w:rsidRPr="00122E11">
              <w:rPr>
                <w:b/>
                <w:bCs/>
                <w:color w:val="000000"/>
              </w:rPr>
              <w:t>Retained Earnings</w:t>
            </w:r>
          </w:p>
        </w:tc>
        <w:tc>
          <w:tcPr>
            <w:tcW w:w="1685" w:type="dxa"/>
          </w:tcPr>
          <w:p w:rsidR="00CE367A" w:rsidRPr="00122E11" w:rsidRDefault="00CE367A" w:rsidP="00EA1363">
            <w:pPr>
              <w:jc w:val="right"/>
            </w:pPr>
          </w:p>
        </w:tc>
        <w:tc>
          <w:tcPr>
            <w:tcW w:w="1920" w:type="dxa"/>
          </w:tcPr>
          <w:p w:rsidR="00CE367A" w:rsidRPr="00122E11" w:rsidRDefault="00CE367A" w:rsidP="0033488A">
            <w:pPr>
              <w:jc w:val="right"/>
            </w:pPr>
          </w:p>
        </w:tc>
      </w:tr>
      <w:tr w:rsidR="00CE367A" w:rsidRPr="00122E11" w:rsidTr="009348B8">
        <w:trPr>
          <w:cantSplit/>
          <w:jc w:val="center"/>
        </w:trPr>
        <w:tc>
          <w:tcPr>
            <w:tcW w:w="5580" w:type="dxa"/>
          </w:tcPr>
          <w:p w:rsidR="00CE367A" w:rsidRPr="00122E11" w:rsidRDefault="00CE367A" w:rsidP="00EA1363">
            <w:r w:rsidRPr="00122E11">
              <w:rPr>
                <w:color w:val="000000"/>
              </w:rPr>
              <w:t>Profit/ (Loss) after Income Tax Expense</w:t>
            </w:r>
          </w:p>
        </w:tc>
        <w:tc>
          <w:tcPr>
            <w:tcW w:w="1685" w:type="dxa"/>
            <w:tcBorders>
              <w:bottom w:val="single" w:sz="4" w:space="0" w:color="auto"/>
            </w:tcBorders>
          </w:tcPr>
          <w:p w:rsidR="00CE367A" w:rsidRPr="00122E11" w:rsidRDefault="00CE367A" w:rsidP="00286DA0">
            <w:pPr>
              <w:jc w:val="right"/>
            </w:pPr>
            <w:r w:rsidRPr="00122E11">
              <w:t>(</w:t>
            </w:r>
            <w:r w:rsidR="00286DA0" w:rsidRPr="00122E11">
              <w:t>1,427,703</w:t>
            </w:r>
            <w:r w:rsidRPr="00122E11">
              <w:t>)</w:t>
            </w:r>
          </w:p>
        </w:tc>
        <w:tc>
          <w:tcPr>
            <w:tcW w:w="1920" w:type="dxa"/>
            <w:tcBorders>
              <w:bottom w:val="single" w:sz="4" w:space="0" w:color="auto"/>
            </w:tcBorders>
          </w:tcPr>
          <w:p w:rsidR="00CE367A" w:rsidRPr="00122E11" w:rsidRDefault="00CE367A" w:rsidP="0033488A">
            <w:pPr>
              <w:jc w:val="right"/>
            </w:pPr>
            <w:r w:rsidRPr="00122E11">
              <w:t>(682,688)</w:t>
            </w:r>
          </w:p>
        </w:tc>
      </w:tr>
      <w:tr w:rsidR="00CE367A" w:rsidRPr="00122E11" w:rsidTr="009348B8">
        <w:trPr>
          <w:cantSplit/>
          <w:jc w:val="center"/>
        </w:trPr>
        <w:tc>
          <w:tcPr>
            <w:tcW w:w="5580" w:type="dxa"/>
          </w:tcPr>
          <w:p w:rsidR="00CE367A" w:rsidRPr="00122E11" w:rsidRDefault="00CE367A" w:rsidP="00EA1363"/>
        </w:tc>
        <w:tc>
          <w:tcPr>
            <w:tcW w:w="1685" w:type="dxa"/>
            <w:tcBorders>
              <w:top w:val="single" w:sz="4" w:space="0" w:color="auto"/>
            </w:tcBorders>
          </w:tcPr>
          <w:p w:rsidR="00CE367A" w:rsidRPr="00122E11" w:rsidRDefault="00CE367A" w:rsidP="00EA1363">
            <w:pPr>
              <w:jc w:val="right"/>
            </w:pPr>
            <w:r w:rsidRPr="00122E11">
              <w:t>(</w:t>
            </w:r>
            <w:r w:rsidR="00286DA0" w:rsidRPr="00122E11">
              <w:t>1,427,703</w:t>
            </w:r>
            <w:r w:rsidRPr="00122E11">
              <w:t>)</w:t>
            </w:r>
          </w:p>
        </w:tc>
        <w:tc>
          <w:tcPr>
            <w:tcW w:w="1920" w:type="dxa"/>
            <w:tcBorders>
              <w:top w:val="single" w:sz="4" w:space="0" w:color="auto"/>
            </w:tcBorders>
          </w:tcPr>
          <w:p w:rsidR="00CE367A" w:rsidRPr="00122E11" w:rsidRDefault="00CE367A" w:rsidP="0033488A">
            <w:pPr>
              <w:jc w:val="right"/>
            </w:pPr>
            <w:r w:rsidRPr="00122E11">
              <w:t>(682,688)</w:t>
            </w:r>
          </w:p>
        </w:tc>
      </w:tr>
      <w:tr w:rsidR="00CE367A" w:rsidRPr="00122E11" w:rsidTr="009348B8">
        <w:trPr>
          <w:cantSplit/>
          <w:jc w:val="center"/>
        </w:trPr>
        <w:tc>
          <w:tcPr>
            <w:tcW w:w="5580" w:type="dxa"/>
          </w:tcPr>
          <w:p w:rsidR="00CE367A" w:rsidRPr="00122E11" w:rsidRDefault="00CE367A" w:rsidP="00EA1363">
            <w:pPr>
              <w:rPr>
                <w:b/>
              </w:rPr>
            </w:pPr>
            <w:r w:rsidRPr="00122E11">
              <w:rPr>
                <w:b/>
                <w:bCs/>
                <w:color w:val="000000"/>
              </w:rPr>
              <w:t>Closing Balance</w:t>
            </w:r>
          </w:p>
        </w:tc>
        <w:tc>
          <w:tcPr>
            <w:tcW w:w="1685" w:type="dxa"/>
            <w:tcBorders>
              <w:top w:val="single" w:sz="4" w:space="0" w:color="auto"/>
              <w:bottom w:val="double" w:sz="4" w:space="0" w:color="auto"/>
            </w:tcBorders>
          </w:tcPr>
          <w:p w:rsidR="00CE367A" w:rsidRPr="00122E11" w:rsidRDefault="00286DA0" w:rsidP="00EA1363">
            <w:pPr>
              <w:jc w:val="right"/>
            </w:pPr>
            <w:r w:rsidRPr="00122E11">
              <w:t>5,561,625</w:t>
            </w:r>
          </w:p>
        </w:tc>
        <w:tc>
          <w:tcPr>
            <w:tcW w:w="1920" w:type="dxa"/>
            <w:tcBorders>
              <w:top w:val="single" w:sz="4" w:space="0" w:color="auto"/>
              <w:bottom w:val="double" w:sz="4" w:space="0" w:color="auto"/>
            </w:tcBorders>
          </w:tcPr>
          <w:p w:rsidR="00CE367A" w:rsidRPr="00122E11" w:rsidRDefault="00CE367A" w:rsidP="0033488A">
            <w:pPr>
              <w:jc w:val="right"/>
            </w:pPr>
            <w:r w:rsidRPr="00122E11">
              <w:t>6,989,328</w:t>
            </w:r>
          </w:p>
        </w:tc>
      </w:tr>
      <w:tr w:rsidR="00CE367A" w:rsidRPr="00122E11" w:rsidTr="009348B8">
        <w:trPr>
          <w:cantSplit/>
          <w:jc w:val="center"/>
        </w:trPr>
        <w:tc>
          <w:tcPr>
            <w:tcW w:w="5580" w:type="dxa"/>
          </w:tcPr>
          <w:p w:rsidR="00CE367A" w:rsidRPr="00122E11" w:rsidRDefault="00CE367A" w:rsidP="00EA1363">
            <w:pPr>
              <w:rPr>
                <w:b/>
              </w:rPr>
            </w:pPr>
            <w:r w:rsidRPr="00122E11">
              <w:rPr>
                <w:b/>
                <w:bCs/>
                <w:color w:val="000000"/>
              </w:rPr>
              <w:t>Reconciliation of Retained Earnings</w:t>
            </w:r>
          </w:p>
        </w:tc>
        <w:tc>
          <w:tcPr>
            <w:tcW w:w="1685" w:type="dxa"/>
          </w:tcPr>
          <w:p w:rsidR="00CE367A" w:rsidRPr="00122E11" w:rsidRDefault="00CE367A" w:rsidP="00EA1363">
            <w:pPr>
              <w:jc w:val="right"/>
            </w:pPr>
          </w:p>
        </w:tc>
        <w:tc>
          <w:tcPr>
            <w:tcW w:w="1920" w:type="dxa"/>
          </w:tcPr>
          <w:p w:rsidR="00CE367A" w:rsidRPr="00122E11" w:rsidRDefault="00CE367A" w:rsidP="0033488A">
            <w:pPr>
              <w:jc w:val="right"/>
            </w:pPr>
          </w:p>
        </w:tc>
      </w:tr>
      <w:tr w:rsidR="00CE367A" w:rsidRPr="00122E11" w:rsidTr="009348B8">
        <w:trPr>
          <w:cantSplit/>
          <w:jc w:val="center"/>
        </w:trPr>
        <w:tc>
          <w:tcPr>
            <w:tcW w:w="5580" w:type="dxa"/>
          </w:tcPr>
          <w:p w:rsidR="00CE367A" w:rsidRPr="00122E11" w:rsidRDefault="00CE367A" w:rsidP="00EA1363">
            <w:r w:rsidRPr="00122E11">
              <w:rPr>
                <w:color w:val="000000"/>
              </w:rPr>
              <w:t>Opening Balance</w:t>
            </w:r>
          </w:p>
        </w:tc>
        <w:tc>
          <w:tcPr>
            <w:tcW w:w="1685" w:type="dxa"/>
          </w:tcPr>
          <w:p w:rsidR="00CE367A" w:rsidRPr="00122E11" w:rsidRDefault="00286DA0" w:rsidP="00EA1363">
            <w:pPr>
              <w:jc w:val="right"/>
            </w:pPr>
            <w:r w:rsidRPr="00122E11">
              <w:t>6,541,228</w:t>
            </w:r>
          </w:p>
        </w:tc>
        <w:tc>
          <w:tcPr>
            <w:tcW w:w="1920" w:type="dxa"/>
          </w:tcPr>
          <w:p w:rsidR="00CE367A" w:rsidRPr="00122E11" w:rsidRDefault="00CE367A" w:rsidP="0033488A">
            <w:pPr>
              <w:jc w:val="right"/>
            </w:pPr>
            <w:r w:rsidRPr="00122E11">
              <w:t>7,223,916</w:t>
            </w:r>
          </w:p>
        </w:tc>
      </w:tr>
      <w:tr w:rsidR="00CE367A" w:rsidRPr="00122E11" w:rsidTr="009348B8">
        <w:trPr>
          <w:cantSplit/>
          <w:jc w:val="center"/>
        </w:trPr>
        <w:tc>
          <w:tcPr>
            <w:tcW w:w="5580" w:type="dxa"/>
          </w:tcPr>
          <w:p w:rsidR="00CE367A" w:rsidRPr="00122E11" w:rsidRDefault="00CE367A" w:rsidP="00EA1363">
            <w:r w:rsidRPr="00122E11">
              <w:rPr>
                <w:color w:val="000000"/>
              </w:rPr>
              <w:t>Profit/ (Loss) after Income Tax Expense</w:t>
            </w:r>
          </w:p>
        </w:tc>
        <w:tc>
          <w:tcPr>
            <w:tcW w:w="1685" w:type="dxa"/>
            <w:tcBorders>
              <w:bottom w:val="single" w:sz="4" w:space="0" w:color="auto"/>
            </w:tcBorders>
          </w:tcPr>
          <w:p w:rsidR="00CE367A" w:rsidRPr="00122E11" w:rsidRDefault="00CE367A" w:rsidP="00EA1363">
            <w:pPr>
              <w:jc w:val="right"/>
            </w:pPr>
            <w:r w:rsidRPr="00122E11">
              <w:t>(</w:t>
            </w:r>
            <w:r w:rsidR="00286DA0" w:rsidRPr="00122E11">
              <w:t>1,427,703</w:t>
            </w:r>
            <w:r w:rsidRPr="00122E11">
              <w:t>)</w:t>
            </w:r>
          </w:p>
        </w:tc>
        <w:tc>
          <w:tcPr>
            <w:tcW w:w="1920" w:type="dxa"/>
            <w:tcBorders>
              <w:bottom w:val="single" w:sz="4" w:space="0" w:color="auto"/>
            </w:tcBorders>
          </w:tcPr>
          <w:p w:rsidR="00CE367A" w:rsidRPr="00122E11" w:rsidRDefault="00CE367A" w:rsidP="0033488A">
            <w:pPr>
              <w:jc w:val="right"/>
            </w:pPr>
            <w:r w:rsidRPr="00122E11">
              <w:t>(682,688)</w:t>
            </w:r>
          </w:p>
        </w:tc>
      </w:tr>
      <w:tr w:rsidR="00CE367A" w:rsidRPr="00122E11" w:rsidTr="009348B8">
        <w:trPr>
          <w:cantSplit/>
          <w:jc w:val="center"/>
        </w:trPr>
        <w:tc>
          <w:tcPr>
            <w:tcW w:w="5580" w:type="dxa"/>
          </w:tcPr>
          <w:p w:rsidR="00CE367A" w:rsidRPr="00122E11" w:rsidRDefault="00CE367A" w:rsidP="00EA1363">
            <w:r w:rsidRPr="00122E11">
              <w:rPr>
                <w:color w:val="000000"/>
              </w:rPr>
              <w:t>Closing Balance</w:t>
            </w:r>
          </w:p>
        </w:tc>
        <w:tc>
          <w:tcPr>
            <w:tcW w:w="1685" w:type="dxa"/>
            <w:tcBorders>
              <w:top w:val="single" w:sz="4" w:space="0" w:color="auto"/>
              <w:bottom w:val="single" w:sz="4" w:space="0" w:color="auto"/>
            </w:tcBorders>
          </w:tcPr>
          <w:p w:rsidR="00CE367A" w:rsidRPr="00122E11" w:rsidRDefault="00286DA0" w:rsidP="00EA1363">
            <w:pPr>
              <w:jc w:val="right"/>
            </w:pPr>
            <w:r w:rsidRPr="00122E11">
              <w:t>5,113,525</w:t>
            </w:r>
          </w:p>
        </w:tc>
        <w:tc>
          <w:tcPr>
            <w:tcW w:w="1920" w:type="dxa"/>
            <w:tcBorders>
              <w:top w:val="single" w:sz="4" w:space="0" w:color="auto"/>
              <w:bottom w:val="single" w:sz="4" w:space="0" w:color="auto"/>
            </w:tcBorders>
          </w:tcPr>
          <w:p w:rsidR="00CE367A" w:rsidRPr="00122E11" w:rsidRDefault="00CE367A" w:rsidP="0033488A">
            <w:pPr>
              <w:jc w:val="right"/>
            </w:pPr>
            <w:r w:rsidRPr="00122E11">
              <w:t>6,541,228</w:t>
            </w:r>
          </w:p>
        </w:tc>
      </w:tr>
      <w:tr w:rsidR="009348B8" w:rsidRPr="00122E11" w:rsidTr="009348B8">
        <w:trPr>
          <w:cantSplit/>
          <w:jc w:val="center"/>
        </w:trPr>
        <w:tc>
          <w:tcPr>
            <w:tcW w:w="5580" w:type="dxa"/>
          </w:tcPr>
          <w:p w:rsidR="009348B8" w:rsidRPr="00122E11" w:rsidRDefault="009348B8" w:rsidP="00EA1363">
            <w:pPr>
              <w:rPr>
                <w:b/>
              </w:rPr>
            </w:pPr>
            <w:r w:rsidRPr="00122E11">
              <w:rPr>
                <w:b/>
                <w:bCs/>
                <w:color w:val="000000"/>
              </w:rPr>
              <w:t>Reconciliation of Reserves</w:t>
            </w:r>
          </w:p>
        </w:tc>
        <w:tc>
          <w:tcPr>
            <w:tcW w:w="1685" w:type="dxa"/>
          </w:tcPr>
          <w:p w:rsidR="009348B8" w:rsidRPr="00122E11" w:rsidRDefault="009348B8" w:rsidP="00EA1363">
            <w:pPr>
              <w:jc w:val="right"/>
            </w:pPr>
          </w:p>
        </w:tc>
        <w:tc>
          <w:tcPr>
            <w:tcW w:w="1920" w:type="dxa"/>
          </w:tcPr>
          <w:p w:rsidR="009348B8" w:rsidRPr="00122E11" w:rsidRDefault="009348B8" w:rsidP="00F2616A">
            <w:pPr>
              <w:jc w:val="right"/>
            </w:pPr>
          </w:p>
        </w:tc>
      </w:tr>
      <w:tr w:rsidR="009348B8" w:rsidRPr="00122E11" w:rsidTr="009348B8">
        <w:trPr>
          <w:cantSplit/>
          <w:jc w:val="center"/>
        </w:trPr>
        <w:tc>
          <w:tcPr>
            <w:tcW w:w="5580" w:type="dxa"/>
          </w:tcPr>
          <w:p w:rsidR="009348B8" w:rsidRPr="00122E11" w:rsidRDefault="009348B8" w:rsidP="00EA1363">
            <w:pPr>
              <w:rPr>
                <w:b/>
              </w:rPr>
            </w:pPr>
            <w:r w:rsidRPr="00122E11">
              <w:rPr>
                <w:b/>
                <w:bCs/>
                <w:color w:val="000000"/>
              </w:rPr>
              <w:t>Capital Redemption Reserve</w:t>
            </w:r>
          </w:p>
        </w:tc>
        <w:tc>
          <w:tcPr>
            <w:tcW w:w="1685" w:type="dxa"/>
          </w:tcPr>
          <w:p w:rsidR="009348B8" w:rsidRPr="00122E11" w:rsidRDefault="009348B8" w:rsidP="00EA1363">
            <w:pPr>
              <w:jc w:val="right"/>
            </w:pPr>
          </w:p>
        </w:tc>
        <w:tc>
          <w:tcPr>
            <w:tcW w:w="1920" w:type="dxa"/>
          </w:tcPr>
          <w:p w:rsidR="009348B8" w:rsidRPr="00122E11" w:rsidRDefault="009348B8" w:rsidP="00F2616A">
            <w:pPr>
              <w:jc w:val="right"/>
            </w:pPr>
          </w:p>
        </w:tc>
      </w:tr>
      <w:tr w:rsidR="009348B8" w:rsidRPr="00122E11" w:rsidTr="009348B8">
        <w:trPr>
          <w:cantSplit/>
          <w:jc w:val="center"/>
        </w:trPr>
        <w:tc>
          <w:tcPr>
            <w:tcW w:w="5580" w:type="dxa"/>
          </w:tcPr>
          <w:p w:rsidR="009348B8" w:rsidRPr="00122E11" w:rsidRDefault="009348B8" w:rsidP="00EA1363">
            <w:r w:rsidRPr="00122E11">
              <w:rPr>
                <w:color w:val="000000"/>
              </w:rPr>
              <w:t>Opening Balance for the year</w:t>
            </w:r>
          </w:p>
        </w:tc>
        <w:tc>
          <w:tcPr>
            <w:tcW w:w="1685" w:type="dxa"/>
            <w:tcBorders>
              <w:bottom w:val="single" w:sz="4" w:space="0" w:color="auto"/>
            </w:tcBorders>
          </w:tcPr>
          <w:p w:rsidR="009348B8" w:rsidRPr="00122E11" w:rsidRDefault="008A37D5" w:rsidP="00EA1363">
            <w:pPr>
              <w:jc w:val="right"/>
            </w:pPr>
            <w:r w:rsidRPr="00122E11">
              <w:t>448,100</w:t>
            </w:r>
          </w:p>
        </w:tc>
        <w:tc>
          <w:tcPr>
            <w:tcW w:w="1920" w:type="dxa"/>
            <w:tcBorders>
              <w:bottom w:val="single" w:sz="4" w:space="0" w:color="auto"/>
            </w:tcBorders>
          </w:tcPr>
          <w:p w:rsidR="009348B8" w:rsidRPr="00122E11" w:rsidRDefault="009348B8" w:rsidP="00F2616A">
            <w:pPr>
              <w:jc w:val="right"/>
            </w:pPr>
            <w:r w:rsidRPr="00122E11">
              <w:rPr>
                <w:color w:val="000000"/>
              </w:rPr>
              <w:t>448,100</w:t>
            </w:r>
          </w:p>
        </w:tc>
      </w:tr>
      <w:tr w:rsidR="009348B8" w:rsidRPr="00122E11" w:rsidTr="009348B8">
        <w:trPr>
          <w:cantSplit/>
          <w:jc w:val="center"/>
        </w:trPr>
        <w:tc>
          <w:tcPr>
            <w:tcW w:w="5580" w:type="dxa"/>
          </w:tcPr>
          <w:p w:rsidR="009348B8" w:rsidRPr="00122E11" w:rsidRDefault="009348B8" w:rsidP="00EA1363">
            <w:r w:rsidRPr="00122E11">
              <w:rPr>
                <w:color w:val="000000"/>
              </w:rPr>
              <w:t>Closing Balance</w:t>
            </w:r>
          </w:p>
        </w:tc>
        <w:tc>
          <w:tcPr>
            <w:tcW w:w="1685" w:type="dxa"/>
            <w:tcBorders>
              <w:top w:val="single" w:sz="4" w:space="0" w:color="auto"/>
              <w:bottom w:val="single" w:sz="4" w:space="0" w:color="auto"/>
            </w:tcBorders>
          </w:tcPr>
          <w:p w:rsidR="009348B8" w:rsidRPr="00122E11" w:rsidRDefault="008A37D5" w:rsidP="00EA1363">
            <w:pPr>
              <w:jc w:val="right"/>
            </w:pPr>
            <w:r w:rsidRPr="00122E11">
              <w:t>448,100</w:t>
            </w:r>
          </w:p>
        </w:tc>
        <w:tc>
          <w:tcPr>
            <w:tcW w:w="1920" w:type="dxa"/>
            <w:tcBorders>
              <w:top w:val="single" w:sz="4" w:space="0" w:color="auto"/>
              <w:bottom w:val="single" w:sz="4" w:space="0" w:color="auto"/>
            </w:tcBorders>
          </w:tcPr>
          <w:p w:rsidR="009348B8" w:rsidRPr="00122E11" w:rsidRDefault="009348B8" w:rsidP="00F2616A">
            <w:pPr>
              <w:jc w:val="right"/>
            </w:pPr>
            <w:r w:rsidRPr="00122E11">
              <w:rPr>
                <w:color w:val="000000"/>
              </w:rPr>
              <w:t>448,100</w:t>
            </w:r>
          </w:p>
        </w:tc>
      </w:tr>
      <w:tr w:rsidR="009348B8" w:rsidRPr="001E59DB" w:rsidTr="009348B8">
        <w:trPr>
          <w:cantSplit/>
          <w:jc w:val="center"/>
        </w:trPr>
        <w:tc>
          <w:tcPr>
            <w:tcW w:w="5580" w:type="dxa"/>
          </w:tcPr>
          <w:p w:rsidR="009348B8" w:rsidRPr="00122E11" w:rsidRDefault="009348B8" w:rsidP="00EA1363">
            <w:pPr>
              <w:rPr>
                <w:b/>
              </w:rPr>
            </w:pPr>
            <w:r w:rsidRPr="00122E11">
              <w:rPr>
                <w:b/>
                <w:bCs/>
                <w:color w:val="000000"/>
              </w:rPr>
              <w:t>Total Equity</w:t>
            </w:r>
          </w:p>
        </w:tc>
        <w:tc>
          <w:tcPr>
            <w:tcW w:w="1685" w:type="dxa"/>
            <w:tcBorders>
              <w:top w:val="single" w:sz="4" w:space="0" w:color="auto"/>
              <w:bottom w:val="double" w:sz="4" w:space="0" w:color="auto"/>
            </w:tcBorders>
          </w:tcPr>
          <w:p w:rsidR="009348B8" w:rsidRPr="00122E11" w:rsidRDefault="00C87C85" w:rsidP="00F42C98">
            <w:pPr>
              <w:spacing w:after="60"/>
              <w:jc w:val="right"/>
            </w:pPr>
            <w:r w:rsidRPr="00122E11">
              <w:t>5,561,625</w:t>
            </w:r>
          </w:p>
        </w:tc>
        <w:tc>
          <w:tcPr>
            <w:tcW w:w="1920" w:type="dxa"/>
            <w:tcBorders>
              <w:top w:val="single" w:sz="4" w:space="0" w:color="auto"/>
              <w:bottom w:val="double" w:sz="4" w:space="0" w:color="auto"/>
            </w:tcBorders>
          </w:tcPr>
          <w:p w:rsidR="009348B8" w:rsidRPr="00122E11" w:rsidRDefault="00CE367A" w:rsidP="00F2616A">
            <w:pPr>
              <w:spacing w:after="60"/>
              <w:jc w:val="right"/>
            </w:pPr>
            <w:r w:rsidRPr="00122E11">
              <w:t>6,989,328</w:t>
            </w:r>
          </w:p>
        </w:tc>
      </w:tr>
    </w:tbl>
    <w:p w:rsidR="00D2400B" w:rsidRPr="00C2688A" w:rsidRDefault="00D2400B" w:rsidP="00712543">
      <w:pPr>
        <w:pStyle w:val="Quote"/>
        <w:spacing w:before="3720"/>
        <w:jc w:val="center"/>
        <w:sectPr w:rsidR="00D2400B" w:rsidRPr="00C2688A" w:rsidSect="000C5471">
          <w:pgSz w:w="11904" w:h="16836"/>
          <w:pgMar w:top="1440" w:right="1440" w:bottom="1440" w:left="1440" w:header="720" w:footer="288" w:gutter="0"/>
          <w:cols w:space="720"/>
          <w:noEndnote/>
          <w:docGrid w:linePitch="299"/>
        </w:sectPr>
      </w:pPr>
      <w:r w:rsidRPr="00C2688A">
        <w:t>The accompanying notes form part of these financial statements</w:t>
      </w:r>
    </w:p>
    <w:p w:rsidR="00D2400B" w:rsidRPr="003226E6" w:rsidRDefault="00D2400B" w:rsidP="000C5471">
      <w:pPr>
        <w:pStyle w:val="Heading1"/>
        <w:rPr>
          <w:sz w:val="24"/>
          <w:szCs w:val="24"/>
        </w:rPr>
      </w:pPr>
      <w:bookmarkStart w:id="7" w:name="_Toc402184222"/>
      <w:r w:rsidRPr="003226E6">
        <w:lastRenderedPageBreak/>
        <w:t>Cash Flow Statement</w:t>
      </w:r>
      <w:bookmarkEnd w:id="7"/>
    </w:p>
    <w:p w:rsidR="00D2400B" w:rsidRPr="00C2688A" w:rsidRDefault="009348B8" w:rsidP="00D668F9">
      <w:pPr>
        <w:spacing w:after="960"/>
        <w:rPr>
          <w:b/>
          <w:sz w:val="24"/>
          <w:szCs w:val="24"/>
        </w:rPr>
      </w:pPr>
      <w:r>
        <w:rPr>
          <w:b/>
        </w:rPr>
        <w:t xml:space="preserve">For the Year ended 30 June </w:t>
      </w:r>
      <w:r w:rsidR="00985FF4">
        <w:rPr>
          <w:b/>
        </w:rPr>
        <w:t>2015</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ash flow statement items"/>
      </w:tblPr>
      <w:tblGrid>
        <w:gridCol w:w="6014"/>
        <w:gridCol w:w="1552"/>
        <w:gridCol w:w="1619"/>
      </w:tblGrid>
      <w:tr w:rsidR="00C2688A" w:rsidRPr="00D40661" w:rsidTr="009348B8">
        <w:trPr>
          <w:cnfStyle w:val="100000000000" w:firstRow="1" w:lastRow="0" w:firstColumn="0" w:lastColumn="0" w:oddVBand="0" w:evenVBand="0" w:oddHBand="0" w:evenHBand="0" w:firstRowFirstColumn="0" w:firstRowLastColumn="0" w:lastRowFirstColumn="0" w:lastRowLastColumn="0"/>
          <w:tblHeader/>
          <w:jc w:val="center"/>
        </w:trPr>
        <w:tc>
          <w:tcPr>
            <w:tcW w:w="6014" w:type="dxa"/>
          </w:tcPr>
          <w:p w:rsidR="00C2688A" w:rsidRPr="00D40661" w:rsidRDefault="004B6061" w:rsidP="00EA1363">
            <w:pPr>
              <w:ind w:left="27"/>
            </w:pPr>
            <w:r>
              <w:rPr>
                <w:bCs/>
                <w:color w:val="000000"/>
              </w:rPr>
              <w:br/>
            </w:r>
            <w:r w:rsidR="00C2688A" w:rsidRPr="00C2688A">
              <w:rPr>
                <w:bCs/>
                <w:color w:val="000000"/>
              </w:rPr>
              <w:t>Cash Flows from Operating</w:t>
            </w:r>
            <w:r w:rsidR="00C2688A" w:rsidRPr="00C2688A">
              <w:rPr>
                <w:b w:val="0"/>
                <w:bCs/>
                <w:color w:val="000000"/>
              </w:rPr>
              <w:t xml:space="preserve"> </w:t>
            </w:r>
            <w:r w:rsidR="00C2688A" w:rsidRPr="00C2688A">
              <w:rPr>
                <w:bCs/>
                <w:color w:val="000000"/>
              </w:rPr>
              <w:t>Activities</w:t>
            </w:r>
          </w:p>
        </w:tc>
        <w:tc>
          <w:tcPr>
            <w:tcW w:w="1552" w:type="dxa"/>
          </w:tcPr>
          <w:p w:rsidR="00C2688A" w:rsidRPr="00D40661" w:rsidRDefault="00985FF4" w:rsidP="00EA1363">
            <w:pPr>
              <w:ind w:left="27"/>
              <w:jc w:val="right"/>
            </w:pPr>
            <w:r>
              <w:rPr>
                <w:color w:val="000000"/>
              </w:rPr>
              <w:t>2015</w:t>
            </w:r>
            <w:r w:rsidR="00C2688A">
              <w:rPr>
                <w:color w:val="000000"/>
              </w:rPr>
              <w:br/>
              <w:t>$</w:t>
            </w:r>
          </w:p>
        </w:tc>
        <w:tc>
          <w:tcPr>
            <w:tcW w:w="1619" w:type="dxa"/>
          </w:tcPr>
          <w:p w:rsidR="00C2688A" w:rsidRPr="00D40661" w:rsidRDefault="00985FF4" w:rsidP="009348B8">
            <w:pPr>
              <w:ind w:left="27"/>
              <w:jc w:val="right"/>
            </w:pPr>
            <w:r>
              <w:rPr>
                <w:color w:val="000000"/>
              </w:rPr>
              <w:t>2014</w:t>
            </w:r>
            <w:r w:rsidR="00C2688A">
              <w:rPr>
                <w:color w:val="000000"/>
              </w:rPr>
              <w:br/>
              <w:t>$</w:t>
            </w:r>
          </w:p>
        </w:tc>
      </w:tr>
      <w:tr w:rsidR="00CE367A" w:rsidRPr="00D40661" w:rsidTr="009348B8">
        <w:trPr>
          <w:jc w:val="center"/>
        </w:trPr>
        <w:tc>
          <w:tcPr>
            <w:tcW w:w="6014" w:type="dxa"/>
          </w:tcPr>
          <w:p w:rsidR="00CE367A" w:rsidRPr="00D40661" w:rsidRDefault="00CE367A" w:rsidP="00EA1363">
            <w:pPr>
              <w:ind w:left="27"/>
            </w:pPr>
            <w:r w:rsidRPr="00D40661">
              <w:rPr>
                <w:color w:val="000000"/>
              </w:rPr>
              <w:t>Receipts from Government (Grant)</w:t>
            </w:r>
            <w:r>
              <w:rPr>
                <w:color w:val="000000"/>
              </w:rPr>
              <w:t xml:space="preserve"> &amp; Access iQ &amp; Other revenue</w:t>
            </w:r>
          </w:p>
        </w:tc>
        <w:tc>
          <w:tcPr>
            <w:tcW w:w="1552" w:type="dxa"/>
          </w:tcPr>
          <w:p w:rsidR="00CE367A" w:rsidRPr="00122E11" w:rsidRDefault="00E56D0E" w:rsidP="00EA1363">
            <w:pPr>
              <w:ind w:left="27"/>
              <w:jc w:val="right"/>
            </w:pPr>
            <w:r w:rsidRPr="00122E11">
              <w:t>434,931</w:t>
            </w:r>
          </w:p>
        </w:tc>
        <w:tc>
          <w:tcPr>
            <w:tcW w:w="1619" w:type="dxa"/>
          </w:tcPr>
          <w:p w:rsidR="00CE367A" w:rsidRPr="00122E11" w:rsidRDefault="00CE367A" w:rsidP="0033488A">
            <w:pPr>
              <w:ind w:left="27"/>
              <w:jc w:val="right"/>
            </w:pPr>
            <w:r w:rsidRPr="00122E11">
              <w:t>291,761</w:t>
            </w:r>
          </w:p>
        </w:tc>
      </w:tr>
      <w:tr w:rsidR="00CE367A" w:rsidRPr="00D40661" w:rsidTr="009348B8">
        <w:trPr>
          <w:jc w:val="center"/>
        </w:trPr>
        <w:tc>
          <w:tcPr>
            <w:tcW w:w="6014" w:type="dxa"/>
          </w:tcPr>
          <w:p w:rsidR="00CE367A" w:rsidRPr="00D40661" w:rsidRDefault="00CE367A" w:rsidP="00EA1363">
            <w:pPr>
              <w:ind w:left="27"/>
            </w:pPr>
            <w:r w:rsidRPr="00D40661">
              <w:rPr>
                <w:color w:val="000000"/>
              </w:rPr>
              <w:t>Payments to Suppliers and Employees</w:t>
            </w:r>
          </w:p>
        </w:tc>
        <w:tc>
          <w:tcPr>
            <w:tcW w:w="1552" w:type="dxa"/>
          </w:tcPr>
          <w:p w:rsidR="00CE367A" w:rsidRPr="00122E11" w:rsidRDefault="00CE367A" w:rsidP="009C07A0">
            <w:pPr>
              <w:ind w:left="27"/>
              <w:jc w:val="right"/>
            </w:pPr>
            <w:r w:rsidRPr="00122E11">
              <w:t>(1,</w:t>
            </w:r>
            <w:r w:rsidR="009C07A0">
              <w:t>747,626</w:t>
            </w:r>
            <w:r w:rsidRPr="00122E11">
              <w:t>)</w:t>
            </w:r>
          </w:p>
        </w:tc>
        <w:tc>
          <w:tcPr>
            <w:tcW w:w="1619" w:type="dxa"/>
          </w:tcPr>
          <w:p w:rsidR="00CE367A" w:rsidRPr="00122E11" w:rsidRDefault="00CE367A" w:rsidP="0033488A">
            <w:pPr>
              <w:ind w:left="27"/>
              <w:jc w:val="right"/>
            </w:pPr>
            <w:r w:rsidRPr="00122E11">
              <w:t>(1,747,635)</w:t>
            </w:r>
          </w:p>
        </w:tc>
      </w:tr>
      <w:tr w:rsidR="00CE367A" w:rsidRPr="00D40661" w:rsidTr="009348B8">
        <w:trPr>
          <w:jc w:val="center"/>
        </w:trPr>
        <w:tc>
          <w:tcPr>
            <w:tcW w:w="6014" w:type="dxa"/>
          </w:tcPr>
          <w:p w:rsidR="00CE367A" w:rsidRPr="00D40661" w:rsidRDefault="00CE367A" w:rsidP="00EA1363">
            <w:pPr>
              <w:ind w:left="27"/>
            </w:pPr>
            <w:r w:rsidRPr="00D40661">
              <w:t>Interest / investment distributions received</w:t>
            </w:r>
          </w:p>
        </w:tc>
        <w:tc>
          <w:tcPr>
            <w:tcW w:w="1552" w:type="dxa"/>
            <w:tcBorders>
              <w:bottom w:val="single" w:sz="4" w:space="0" w:color="auto"/>
            </w:tcBorders>
          </w:tcPr>
          <w:p w:rsidR="00CE367A" w:rsidRPr="00122E11" w:rsidRDefault="00E56D0E" w:rsidP="00EA1363">
            <w:pPr>
              <w:ind w:left="27"/>
              <w:jc w:val="right"/>
            </w:pPr>
            <w:r w:rsidRPr="00122E11">
              <w:t>614,254</w:t>
            </w:r>
          </w:p>
        </w:tc>
        <w:tc>
          <w:tcPr>
            <w:tcW w:w="1619" w:type="dxa"/>
            <w:tcBorders>
              <w:bottom w:val="single" w:sz="4" w:space="0" w:color="auto"/>
            </w:tcBorders>
          </w:tcPr>
          <w:p w:rsidR="00CE367A" w:rsidRPr="00122E11" w:rsidRDefault="00CE367A" w:rsidP="0033488A">
            <w:pPr>
              <w:ind w:left="27"/>
              <w:jc w:val="right"/>
            </w:pPr>
            <w:r w:rsidRPr="00122E11">
              <w:t>1,216,231</w:t>
            </w:r>
          </w:p>
        </w:tc>
      </w:tr>
      <w:tr w:rsidR="00CE367A" w:rsidRPr="00D40661" w:rsidTr="009348B8">
        <w:trPr>
          <w:jc w:val="center"/>
        </w:trPr>
        <w:tc>
          <w:tcPr>
            <w:tcW w:w="6014" w:type="dxa"/>
          </w:tcPr>
          <w:p w:rsidR="00CE367A" w:rsidRPr="00C2688A" w:rsidRDefault="00CE367A" w:rsidP="00EA1363">
            <w:pPr>
              <w:ind w:left="27"/>
              <w:rPr>
                <w:b/>
              </w:rPr>
            </w:pPr>
            <w:r w:rsidRPr="00C2688A">
              <w:rPr>
                <w:b/>
                <w:bCs/>
                <w:color w:val="000000"/>
              </w:rPr>
              <w:t>Net Cash provided / (Used) by Operating Activities</w:t>
            </w:r>
          </w:p>
        </w:tc>
        <w:tc>
          <w:tcPr>
            <w:tcW w:w="1552" w:type="dxa"/>
            <w:tcBorders>
              <w:top w:val="single" w:sz="4" w:space="0" w:color="auto"/>
            </w:tcBorders>
          </w:tcPr>
          <w:p w:rsidR="00CE367A" w:rsidRPr="00122E11" w:rsidRDefault="00CE367A" w:rsidP="009C07A0">
            <w:pPr>
              <w:ind w:left="27"/>
              <w:jc w:val="right"/>
            </w:pPr>
            <w:r w:rsidRPr="00122E11">
              <w:t>(</w:t>
            </w:r>
            <w:r w:rsidR="009C07A0">
              <w:t>698,441</w:t>
            </w:r>
            <w:r w:rsidRPr="00122E11">
              <w:t>)</w:t>
            </w:r>
          </w:p>
        </w:tc>
        <w:tc>
          <w:tcPr>
            <w:tcW w:w="1619" w:type="dxa"/>
            <w:tcBorders>
              <w:top w:val="single" w:sz="4" w:space="0" w:color="auto"/>
            </w:tcBorders>
          </w:tcPr>
          <w:p w:rsidR="00CE367A" w:rsidRPr="00122E11" w:rsidRDefault="00CE367A" w:rsidP="0033488A">
            <w:pPr>
              <w:ind w:left="27"/>
              <w:jc w:val="right"/>
            </w:pPr>
            <w:r w:rsidRPr="00122E11">
              <w:t>(239,643)</w:t>
            </w:r>
          </w:p>
        </w:tc>
      </w:tr>
      <w:tr w:rsidR="00CE367A" w:rsidRPr="00D40661" w:rsidTr="009348B8">
        <w:trPr>
          <w:jc w:val="center"/>
        </w:trPr>
        <w:tc>
          <w:tcPr>
            <w:tcW w:w="6014" w:type="dxa"/>
          </w:tcPr>
          <w:p w:rsidR="00CE367A" w:rsidRPr="00C2688A" w:rsidRDefault="00CE367A" w:rsidP="00EA1363">
            <w:pPr>
              <w:ind w:left="27"/>
              <w:rPr>
                <w:b/>
              </w:rPr>
            </w:pPr>
            <w:r w:rsidRPr="00C2688A">
              <w:rPr>
                <w:b/>
                <w:bCs/>
                <w:color w:val="000000"/>
              </w:rPr>
              <w:t>Cash Flows from Investing Activities</w:t>
            </w:r>
          </w:p>
        </w:tc>
        <w:tc>
          <w:tcPr>
            <w:tcW w:w="1552" w:type="dxa"/>
          </w:tcPr>
          <w:p w:rsidR="00CE367A" w:rsidRPr="00122E11" w:rsidRDefault="00CE367A" w:rsidP="00EA1363">
            <w:pPr>
              <w:ind w:left="27"/>
              <w:jc w:val="right"/>
            </w:pPr>
          </w:p>
        </w:tc>
        <w:tc>
          <w:tcPr>
            <w:tcW w:w="1619" w:type="dxa"/>
          </w:tcPr>
          <w:p w:rsidR="00CE367A" w:rsidRPr="00122E11" w:rsidRDefault="00CE367A" w:rsidP="0033488A">
            <w:pPr>
              <w:ind w:left="27"/>
              <w:jc w:val="right"/>
            </w:pPr>
          </w:p>
        </w:tc>
      </w:tr>
      <w:tr w:rsidR="00CE367A" w:rsidRPr="00D40661" w:rsidTr="009348B8">
        <w:trPr>
          <w:jc w:val="center"/>
        </w:trPr>
        <w:tc>
          <w:tcPr>
            <w:tcW w:w="6014" w:type="dxa"/>
          </w:tcPr>
          <w:p w:rsidR="00CE367A" w:rsidRPr="00D40661" w:rsidRDefault="00CE367A" w:rsidP="00EA1363">
            <w:pPr>
              <w:ind w:left="27"/>
            </w:pPr>
            <w:r w:rsidRPr="00D40661">
              <w:t>Net proceeds (payment) for investment</w:t>
            </w:r>
          </w:p>
        </w:tc>
        <w:tc>
          <w:tcPr>
            <w:tcW w:w="1552" w:type="dxa"/>
          </w:tcPr>
          <w:p w:rsidR="00CE367A" w:rsidRPr="00122E11" w:rsidRDefault="00CE5F4E" w:rsidP="00E35D8B">
            <w:pPr>
              <w:ind w:left="27"/>
              <w:jc w:val="right"/>
            </w:pPr>
            <w:r w:rsidRPr="00122E11">
              <w:t>(</w:t>
            </w:r>
            <w:r w:rsidR="009C07A0">
              <w:t>272,</w:t>
            </w:r>
            <w:r w:rsidR="00E35D8B">
              <w:t>158</w:t>
            </w:r>
            <w:r w:rsidRPr="00122E11">
              <w:t>)</w:t>
            </w:r>
          </w:p>
        </w:tc>
        <w:tc>
          <w:tcPr>
            <w:tcW w:w="1619" w:type="dxa"/>
          </w:tcPr>
          <w:p w:rsidR="00CE367A" w:rsidRPr="00122E11" w:rsidRDefault="00CE367A" w:rsidP="0033488A">
            <w:pPr>
              <w:ind w:left="27"/>
              <w:jc w:val="right"/>
            </w:pPr>
            <w:r w:rsidRPr="00122E11">
              <w:t>882,365</w:t>
            </w:r>
          </w:p>
        </w:tc>
      </w:tr>
      <w:tr w:rsidR="00CE367A" w:rsidRPr="00D40661" w:rsidTr="009348B8">
        <w:trPr>
          <w:jc w:val="center"/>
        </w:trPr>
        <w:tc>
          <w:tcPr>
            <w:tcW w:w="6014" w:type="dxa"/>
          </w:tcPr>
          <w:p w:rsidR="00CE367A" w:rsidRPr="00D40661" w:rsidRDefault="00CE367A" w:rsidP="00EA1363">
            <w:pPr>
              <w:ind w:left="27"/>
            </w:pPr>
            <w:r w:rsidRPr="00D40661">
              <w:t>Payment for property, plant and equipment</w:t>
            </w:r>
          </w:p>
        </w:tc>
        <w:tc>
          <w:tcPr>
            <w:tcW w:w="1552" w:type="dxa"/>
            <w:tcBorders>
              <w:bottom w:val="single" w:sz="4" w:space="0" w:color="auto"/>
            </w:tcBorders>
          </w:tcPr>
          <w:p w:rsidR="00CE367A" w:rsidRPr="00122E11" w:rsidRDefault="009C07A0" w:rsidP="009C07A0">
            <w:pPr>
              <w:ind w:left="27"/>
              <w:jc w:val="right"/>
            </w:pPr>
            <w:r>
              <w:t>(6,017)</w:t>
            </w:r>
          </w:p>
        </w:tc>
        <w:tc>
          <w:tcPr>
            <w:tcW w:w="1619" w:type="dxa"/>
            <w:tcBorders>
              <w:bottom w:val="single" w:sz="4" w:space="0" w:color="auto"/>
            </w:tcBorders>
          </w:tcPr>
          <w:p w:rsidR="00CE367A" w:rsidRPr="00122E11" w:rsidRDefault="00CE367A" w:rsidP="0033488A">
            <w:pPr>
              <w:ind w:left="27"/>
              <w:jc w:val="right"/>
            </w:pPr>
            <w:r w:rsidRPr="00122E11">
              <w:t>(993)</w:t>
            </w:r>
          </w:p>
        </w:tc>
      </w:tr>
      <w:tr w:rsidR="00CE367A" w:rsidRPr="00D40661" w:rsidTr="009348B8">
        <w:trPr>
          <w:jc w:val="center"/>
        </w:trPr>
        <w:tc>
          <w:tcPr>
            <w:tcW w:w="6014" w:type="dxa"/>
          </w:tcPr>
          <w:p w:rsidR="00CE367A" w:rsidRPr="00C2688A" w:rsidRDefault="00CE367A" w:rsidP="00EA1363">
            <w:pPr>
              <w:ind w:left="27"/>
              <w:rPr>
                <w:b/>
              </w:rPr>
            </w:pPr>
            <w:r w:rsidRPr="00C2688A">
              <w:rPr>
                <w:b/>
              </w:rPr>
              <w:t>Net cash provided / (Used) by investing activities</w:t>
            </w:r>
          </w:p>
        </w:tc>
        <w:tc>
          <w:tcPr>
            <w:tcW w:w="1552" w:type="dxa"/>
            <w:tcBorders>
              <w:top w:val="single" w:sz="4" w:space="0" w:color="auto"/>
              <w:bottom w:val="single" w:sz="4" w:space="0" w:color="auto"/>
            </w:tcBorders>
          </w:tcPr>
          <w:p w:rsidR="00CE367A" w:rsidRPr="00122E11" w:rsidRDefault="00CE5F4E" w:rsidP="00E35D8B">
            <w:pPr>
              <w:ind w:left="27"/>
              <w:jc w:val="right"/>
            </w:pPr>
            <w:r w:rsidRPr="00122E11">
              <w:t>(</w:t>
            </w:r>
            <w:r w:rsidR="00E35D8B">
              <w:t>278,175</w:t>
            </w:r>
            <w:r w:rsidRPr="00122E11">
              <w:t>)</w:t>
            </w:r>
          </w:p>
        </w:tc>
        <w:tc>
          <w:tcPr>
            <w:tcW w:w="1619" w:type="dxa"/>
            <w:tcBorders>
              <w:top w:val="single" w:sz="4" w:space="0" w:color="auto"/>
              <w:bottom w:val="single" w:sz="4" w:space="0" w:color="auto"/>
            </w:tcBorders>
          </w:tcPr>
          <w:p w:rsidR="00CE367A" w:rsidRPr="00122E11" w:rsidRDefault="00CE367A" w:rsidP="0033488A">
            <w:pPr>
              <w:ind w:left="27"/>
              <w:jc w:val="right"/>
            </w:pPr>
            <w:r w:rsidRPr="00122E11">
              <w:t>881,372</w:t>
            </w:r>
          </w:p>
        </w:tc>
      </w:tr>
      <w:tr w:rsidR="00CE367A" w:rsidRPr="00D40661" w:rsidTr="009348B8">
        <w:trPr>
          <w:jc w:val="center"/>
        </w:trPr>
        <w:tc>
          <w:tcPr>
            <w:tcW w:w="6014" w:type="dxa"/>
          </w:tcPr>
          <w:p w:rsidR="00CE367A" w:rsidRPr="00D40661" w:rsidRDefault="00CE367A" w:rsidP="00EA1363">
            <w:pPr>
              <w:ind w:left="27"/>
            </w:pPr>
            <w:r w:rsidRPr="00D40661">
              <w:rPr>
                <w:color w:val="000000"/>
              </w:rPr>
              <w:t>Net decrease / (Decrease) in Cash Held</w:t>
            </w:r>
          </w:p>
        </w:tc>
        <w:tc>
          <w:tcPr>
            <w:tcW w:w="1552" w:type="dxa"/>
            <w:tcBorders>
              <w:top w:val="single" w:sz="4" w:space="0" w:color="auto"/>
            </w:tcBorders>
          </w:tcPr>
          <w:p w:rsidR="00CE367A" w:rsidRPr="00122E11" w:rsidRDefault="00CE5F4E" w:rsidP="00E35D8B">
            <w:pPr>
              <w:ind w:left="27"/>
              <w:jc w:val="right"/>
            </w:pPr>
            <w:r w:rsidRPr="00122E11">
              <w:t>(</w:t>
            </w:r>
            <w:r w:rsidR="009C07A0">
              <w:t>9</w:t>
            </w:r>
            <w:r w:rsidR="00E35D8B">
              <w:t>76</w:t>
            </w:r>
            <w:r w:rsidR="009C07A0">
              <w:t>,</w:t>
            </w:r>
            <w:r w:rsidR="00E35D8B">
              <w:t>616</w:t>
            </w:r>
            <w:r w:rsidRPr="00122E11">
              <w:t>)</w:t>
            </w:r>
          </w:p>
        </w:tc>
        <w:tc>
          <w:tcPr>
            <w:tcW w:w="1619" w:type="dxa"/>
            <w:tcBorders>
              <w:top w:val="single" w:sz="4" w:space="0" w:color="auto"/>
            </w:tcBorders>
          </w:tcPr>
          <w:p w:rsidR="00CE367A" w:rsidRPr="00122E11" w:rsidRDefault="00CE367A" w:rsidP="0033488A">
            <w:pPr>
              <w:ind w:left="27"/>
              <w:jc w:val="right"/>
            </w:pPr>
            <w:r w:rsidRPr="00122E11">
              <w:t>641,729</w:t>
            </w:r>
          </w:p>
        </w:tc>
      </w:tr>
      <w:tr w:rsidR="00CE367A" w:rsidRPr="00D40661" w:rsidTr="009348B8">
        <w:trPr>
          <w:jc w:val="center"/>
        </w:trPr>
        <w:tc>
          <w:tcPr>
            <w:tcW w:w="6014" w:type="dxa"/>
          </w:tcPr>
          <w:p w:rsidR="00CE367A" w:rsidRPr="00C2688A" w:rsidRDefault="00CE367A" w:rsidP="00EA1363">
            <w:pPr>
              <w:ind w:left="27"/>
            </w:pPr>
            <w:r w:rsidRPr="00C2688A">
              <w:rPr>
                <w:color w:val="000000"/>
              </w:rPr>
              <w:t>Cash at the beginning of the financial year</w:t>
            </w:r>
          </w:p>
        </w:tc>
        <w:tc>
          <w:tcPr>
            <w:tcW w:w="1552" w:type="dxa"/>
          </w:tcPr>
          <w:p w:rsidR="00CE367A" w:rsidRPr="00122E11" w:rsidRDefault="00CE5F4E" w:rsidP="00EA1363">
            <w:pPr>
              <w:ind w:left="27"/>
              <w:jc w:val="right"/>
            </w:pPr>
            <w:r w:rsidRPr="00122E11">
              <w:t>2,053,240</w:t>
            </w:r>
          </w:p>
        </w:tc>
        <w:tc>
          <w:tcPr>
            <w:tcW w:w="1619" w:type="dxa"/>
          </w:tcPr>
          <w:p w:rsidR="00CE367A" w:rsidRPr="00122E11" w:rsidRDefault="00CE367A" w:rsidP="0033488A">
            <w:pPr>
              <w:ind w:left="27"/>
              <w:jc w:val="right"/>
            </w:pPr>
            <w:r w:rsidRPr="00122E11">
              <w:t>1,411,511</w:t>
            </w:r>
          </w:p>
        </w:tc>
      </w:tr>
      <w:tr w:rsidR="00CE367A" w:rsidRPr="00D40661" w:rsidTr="009348B8">
        <w:trPr>
          <w:jc w:val="center"/>
        </w:trPr>
        <w:tc>
          <w:tcPr>
            <w:tcW w:w="6014" w:type="dxa"/>
          </w:tcPr>
          <w:p w:rsidR="00CE367A" w:rsidRPr="00C2688A" w:rsidRDefault="00CE367A" w:rsidP="00C336BD">
            <w:pPr>
              <w:ind w:left="27"/>
              <w:rPr>
                <w:b/>
              </w:rPr>
            </w:pPr>
            <w:r w:rsidRPr="00C2688A">
              <w:rPr>
                <w:b/>
                <w:bCs/>
                <w:color w:val="000000"/>
              </w:rPr>
              <w:t xml:space="preserve">Cash and Cash Equivalents as at 30 June </w:t>
            </w:r>
            <w:r>
              <w:rPr>
                <w:b/>
                <w:bCs/>
                <w:color w:val="000000"/>
              </w:rPr>
              <w:t>2015</w:t>
            </w:r>
          </w:p>
        </w:tc>
        <w:tc>
          <w:tcPr>
            <w:tcW w:w="1552" w:type="dxa"/>
            <w:tcBorders>
              <w:top w:val="single" w:sz="4" w:space="0" w:color="auto"/>
              <w:bottom w:val="double" w:sz="4" w:space="0" w:color="auto"/>
            </w:tcBorders>
          </w:tcPr>
          <w:p w:rsidR="00CE367A" w:rsidRPr="00122E11" w:rsidRDefault="00E35D8B" w:rsidP="00D12DA3">
            <w:pPr>
              <w:ind w:left="27"/>
              <w:jc w:val="right"/>
            </w:pPr>
            <w:r>
              <w:t>1,076,624</w:t>
            </w:r>
          </w:p>
        </w:tc>
        <w:tc>
          <w:tcPr>
            <w:tcW w:w="1619" w:type="dxa"/>
            <w:tcBorders>
              <w:top w:val="single" w:sz="4" w:space="0" w:color="auto"/>
              <w:bottom w:val="double" w:sz="4" w:space="0" w:color="auto"/>
            </w:tcBorders>
          </w:tcPr>
          <w:p w:rsidR="00CE367A" w:rsidRPr="00122E11" w:rsidRDefault="00CE367A" w:rsidP="0033488A">
            <w:pPr>
              <w:ind w:left="27"/>
              <w:jc w:val="right"/>
            </w:pPr>
            <w:r w:rsidRPr="00122E11">
              <w:t>2,053,240</w:t>
            </w:r>
          </w:p>
        </w:tc>
      </w:tr>
    </w:tbl>
    <w:p w:rsidR="00D2400B" w:rsidRPr="00C2688A" w:rsidRDefault="00D2400B" w:rsidP="00E76067">
      <w:pPr>
        <w:pStyle w:val="Quote"/>
        <w:spacing w:before="4680"/>
        <w:jc w:val="center"/>
        <w:sectPr w:rsidR="00D2400B" w:rsidRPr="00C2688A" w:rsidSect="00712543">
          <w:pgSz w:w="11904" w:h="16836"/>
          <w:pgMar w:top="1440" w:right="1440" w:bottom="1440" w:left="1440" w:header="720" w:footer="0" w:gutter="0"/>
          <w:cols w:space="720"/>
          <w:noEndnote/>
          <w:docGrid w:linePitch="299"/>
        </w:sectPr>
      </w:pPr>
      <w:r w:rsidRPr="00C2688A">
        <w:t>The accompanying notes form part of these financial statements</w:t>
      </w:r>
    </w:p>
    <w:p w:rsidR="00D2400B" w:rsidRPr="003226E6" w:rsidRDefault="00D2400B" w:rsidP="008841DC">
      <w:pPr>
        <w:pStyle w:val="Heading1"/>
        <w:rPr>
          <w:sz w:val="24"/>
          <w:szCs w:val="24"/>
        </w:rPr>
      </w:pPr>
      <w:bookmarkStart w:id="8" w:name="_Toc402184223"/>
      <w:r w:rsidRPr="003226E6">
        <w:lastRenderedPageBreak/>
        <w:t>Notes to the Financial Statements</w:t>
      </w:r>
      <w:bookmarkEnd w:id="8"/>
    </w:p>
    <w:p w:rsidR="00D2400B" w:rsidRPr="00C2688A" w:rsidRDefault="009348B8" w:rsidP="003D78CD">
      <w:pPr>
        <w:rPr>
          <w:b/>
          <w:sz w:val="24"/>
          <w:szCs w:val="24"/>
        </w:rPr>
      </w:pPr>
      <w:r>
        <w:rPr>
          <w:b/>
        </w:rPr>
        <w:t xml:space="preserve">For the Year ended 30 June </w:t>
      </w:r>
      <w:r w:rsidR="00985FF4">
        <w:rPr>
          <w:b/>
        </w:rPr>
        <w:t>2015</w:t>
      </w:r>
    </w:p>
    <w:p w:rsidR="00D2400B" w:rsidRPr="008855E5" w:rsidRDefault="003D78CD" w:rsidP="003D78CD">
      <w:pPr>
        <w:pStyle w:val="Heading2"/>
        <w:rPr>
          <w:b w:val="0"/>
        </w:rPr>
      </w:pPr>
      <w:r>
        <w:rPr>
          <w:b w:val="0"/>
        </w:rPr>
        <w:t>1.</w:t>
      </w:r>
      <w:r>
        <w:rPr>
          <w:b w:val="0"/>
        </w:rPr>
        <w:tab/>
      </w:r>
      <w:r w:rsidR="00FD0325" w:rsidRPr="008855E5">
        <w:rPr>
          <w:b w:val="0"/>
        </w:rPr>
        <w:t>Statement of significant accounting policies</w:t>
      </w:r>
    </w:p>
    <w:p w:rsidR="00D2400B" w:rsidRPr="008855E5" w:rsidRDefault="00D2400B" w:rsidP="003D78CD">
      <w:pPr>
        <w:ind w:left="76"/>
        <w:rPr>
          <w:sz w:val="28"/>
          <w:szCs w:val="24"/>
          <w:u w:val="single"/>
        </w:rPr>
      </w:pPr>
      <w:r w:rsidRPr="008855E5">
        <w:rPr>
          <w:sz w:val="24"/>
          <w:u w:val="single"/>
        </w:rPr>
        <w:t>Basis of Preparation</w:t>
      </w:r>
    </w:p>
    <w:p w:rsidR="00D2400B" w:rsidRDefault="00D2400B" w:rsidP="003D78CD">
      <w:pPr>
        <w:ind w:left="76"/>
      </w:pPr>
      <w:r>
        <w:t>The financial report is a general purpose financial report that has been prepared in accordance with Australian Accounting Standards (including Australian Accounting Interpretations) and the Corporations Act 2001.</w:t>
      </w:r>
    </w:p>
    <w:p w:rsidR="00D2400B" w:rsidRDefault="00D2400B" w:rsidP="003D78CD">
      <w:pPr>
        <w:ind w:left="76"/>
      </w:pPr>
      <w:r>
        <w:t>Australian Accounting Standards set out accounting policies that the AASB has concluded would result in a financial report containing relevant and reliable information about transactions, events and conditions. Compliance with Australian Accounting Standards ensures that the financial statements and notes also comply with International Financial Reporting Standards. Material accounting policies adopted in the preparation of this financial report are presented below and have been consistently applied unless otherwise stated.</w:t>
      </w:r>
    </w:p>
    <w:p w:rsidR="00D2400B" w:rsidRPr="00FD0325" w:rsidRDefault="00D2400B" w:rsidP="003D78CD">
      <w:pPr>
        <w:ind w:left="76"/>
      </w:pPr>
      <w:r>
        <w:t>The financial report has been prepared on an accruals basis and is based on historical costs, modified, where applicable, by the measurement at fair value of selected non-current assets, financial assets and financial liabilities.</w:t>
      </w:r>
    </w:p>
    <w:p w:rsidR="00D2400B" w:rsidRDefault="00D2400B" w:rsidP="003D78CD">
      <w:pPr>
        <w:ind w:left="76"/>
      </w:pPr>
      <w:r w:rsidRPr="00D16AD1">
        <w:t>The accounting policies that have been adopted in the preparation of this report are as follows:</w:t>
      </w:r>
    </w:p>
    <w:p w:rsidR="00FD0325" w:rsidRPr="0083231D" w:rsidRDefault="00FD0325" w:rsidP="003D78CD">
      <w:pPr>
        <w:pStyle w:val="Heading3"/>
        <w:numPr>
          <w:ilvl w:val="1"/>
          <w:numId w:val="13"/>
        </w:numPr>
        <w:ind w:left="1527"/>
      </w:pPr>
      <w:r w:rsidRPr="0083231D">
        <w:t>Revenue</w:t>
      </w:r>
    </w:p>
    <w:p w:rsidR="00D2400B" w:rsidRPr="00403F30" w:rsidRDefault="00D2400B" w:rsidP="003D78CD">
      <w:pPr>
        <w:ind w:left="76"/>
      </w:pPr>
      <w:r w:rsidRPr="00403F30">
        <w:t>Grant revenue is recogni</w:t>
      </w:r>
      <w:r>
        <w:t>s</w:t>
      </w:r>
      <w:r w:rsidRPr="00403F30">
        <w:t xml:space="preserve">ed in the income statement when it is controlled. When there are conditions attached to grant revenue relating to the use of those grants </w:t>
      </w:r>
      <w:r>
        <w:t>for specific purpose it is recogni</w:t>
      </w:r>
      <w:r w:rsidRPr="00403F30">
        <w:t>sed</w:t>
      </w:r>
      <w:r>
        <w:t xml:space="preserve"> </w:t>
      </w:r>
      <w:r w:rsidRPr="00403F30">
        <w:t>in the balance sheet as a liability until such conditions are met or services provided.</w:t>
      </w:r>
    </w:p>
    <w:p w:rsidR="00D2400B" w:rsidRPr="00403F30" w:rsidRDefault="00D2400B" w:rsidP="003D78CD">
      <w:pPr>
        <w:ind w:left="76"/>
      </w:pPr>
      <w:r w:rsidRPr="00403F30">
        <w:t>Don</w:t>
      </w:r>
      <w:r>
        <w:t>ations and bequests are recognis</w:t>
      </w:r>
      <w:r w:rsidRPr="00403F30">
        <w:t>ed as revenue when received unless they are designated</w:t>
      </w:r>
      <w:r>
        <w:t xml:space="preserve"> </w:t>
      </w:r>
      <w:r w:rsidRPr="00403F30">
        <w:t>for a specific purpose, where they are carried forward as prepaid income on the balance sheet.</w:t>
      </w:r>
    </w:p>
    <w:p w:rsidR="00D2400B" w:rsidRPr="00403F30" w:rsidRDefault="00D2400B" w:rsidP="003D78CD">
      <w:pPr>
        <w:ind w:left="76"/>
      </w:pPr>
      <w:r w:rsidRPr="00403F30">
        <w:t>Interest revenue and distribution inc</w:t>
      </w:r>
      <w:r>
        <w:t>ome from investments is recognis</w:t>
      </w:r>
      <w:r w:rsidRPr="00403F30">
        <w:t>ed on a proportional</w:t>
      </w:r>
      <w:r>
        <w:t xml:space="preserve"> </w:t>
      </w:r>
      <w:r w:rsidRPr="00403F30">
        <w:t>basis taking into account the interest rates applicable to the financial assets.</w:t>
      </w:r>
    </w:p>
    <w:p w:rsidR="00D2400B" w:rsidRPr="00403F30" w:rsidRDefault="00D2400B" w:rsidP="003D78CD">
      <w:pPr>
        <w:ind w:left="76"/>
      </w:pPr>
      <w:r w:rsidRPr="00403F30">
        <w:t>Revenue from the rendering of a service is recogni</w:t>
      </w:r>
      <w:r>
        <w:t>s</w:t>
      </w:r>
      <w:r w:rsidRPr="00403F30">
        <w:t>ed upon the delivery of the service to the customers.</w:t>
      </w:r>
    </w:p>
    <w:p w:rsidR="00D2400B" w:rsidRPr="00403F30" w:rsidRDefault="00D2400B" w:rsidP="003D78CD">
      <w:pPr>
        <w:ind w:left="76"/>
        <w:rPr>
          <w:highlight w:val="yellow"/>
        </w:rPr>
      </w:pPr>
      <w:r w:rsidRPr="00403F30">
        <w:t>All revenue is stated net of the amount of goods and services tax (GST).</w:t>
      </w:r>
    </w:p>
    <w:p w:rsidR="00D2400B" w:rsidRDefault="00D2400B" w:rsidP="00712543">
      <w:pPr>
        <w:pStyle w:val="Quote"/>
        <w:spacing w:before="1200" w:after="100" w:afterAutospacing="1"/>
        <w:jc w:val="center"/>
      </w:pPr>
      <w:r w:rsidRPr="00FD0325">
        <w:t>These notes form part of the financial statements</w:t>
      </w:r>
      <w:r>
        <w:br w:type="page"/>
      </w:r>
    </w:p>
    <w:p w:rsidR="00D2400B" w:rsidRPr="00E171F7" w:rsidRDefault="00D2400B" w:rsidP="008841DC">
      <w:pPr>
        <w:spacing w:before="480" w:after="0"/>
        <w:rPr>
          <w:sz w:val="48"/>
        </w:rPr>
      </w:pPr>
      <w:r w:rsidRPr="00E171F7">
        <w:rPr>
          <w:sz w:val="48"/>
        </w:rPr>
        <w:lastRenderedPageBreak/>
        <w:t>Notes to the Financial Statements</w:t>
      </w:r>
    </w:p>
    <w:p w:rsidR="00D2400B" w:rsidRPr="00E171F7" w:rsidRDefault="00D2400B" w:rsidP="003D78CD">
      <w:pPr>
        <w:rPr>
          <w:b/>
        </w:rPr>
      </w:pPr>
      <w:r w:rsidRPr="00E171F7">
        <w:rPr>
          <w:b/>
        </w:rPr>
        <w:t>For th</w:t>
      </w:r>
      <w:r w:rsidR="00F2616A">
        <w:rPr>
          <w:b/>
        </w:rPr>
        <w:t xml:space="preserve">e Year ended 30 June </w:t>
      </w:r>
      <w:r w:rsidR="00985FF4">
        <w:rPr>
          <w:b/>
        </w:rPr>
        <w:t>2015</w:t>
      </w:r>
    </w:p>
    <w:p w:rsidR="00D2400B" w:rsidRPr="000C7DE9" w:rsidRDefault="008841DC" w:rsidP="008841DC">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008855E5" w:rsidRPr="008841DC">
        <w:rPr>
          <w:rFonts w:cstheme="minorHAnsi"/>
          <w:bCs/>
          <w:color w:val="000000"/>
          <w:sz w:val="36"/>
        </w:rPr>
        <w:t>Statement of significant accounting policies (continued)</w:t>
      </w:r>
    </w:p>
    <w:p w:rsidR="008841DC" w:rsidRPr="0083231D" w:rsidRDefault="008841DC" w:rsidP="008841DC">
      <w:pPr>
        <w:pStyle w:val="Heading3"/>
        <w:numPr>
          <w:ilvl w:val="1"/>
          <w:numId w:val="13"/>
        </w:numPr>
        <w:ind w:left="1527"/>
      </w:pPr>
      <w:r w:rsidRPr="00FD0325">
        <w:t>Cash and Cash Equivalents</w:t>
      </w:r>
    </w:p>
    <w:p w:rsidR="008841DC" w:rsidRPr="00FD0325" w:rsidRDefault="008841DC" w:rsidP="008841DC">
      <w:pPr>
        <w:spacing w:after="0"/>
        <w:ind w:left="76"/>
      </w:pPr>
      <w:r w:rsidRPr="00FD0325">
        <w:t>Cash and cash equivalents include cash on hand, deposits held at call with banks, other short-term highly liquid investments with original maturities of three months or less, and bank overdrafts.</w:t>
      </w:r>
    </w:p>
    <w:p w:rsidR="00D24DFC" w:rsidRPr="0083231D" w:rsidRDefault="00D2400B" w:rsidP="00D24DFC">
      <w:pPr>
        <w:pStyle w:val="Heading3"/>
        <w:numPr>
          <w:ilvl w:val="1"/>
          <w:numId w:val="13"/>
        </w:numPr>
        <w:spacing w:before="200"/>
        <w:ind w:left="1527"/>
      </w:pPr>
      <w:r w:rsidRPr="00E171F7">
        <w:t>Property, Plant and Equipment</w:t>
      </w:r>
    </w:p>
    <w:p w:rsidR="00D2400B" w:rsidRDefault="00D2400B" w:rsidP="003D78CD">
      <w:r>
        <w:t>Each class of property, plant and equipment is carried at cost o</w:t>
      </w:r>
      <w:r w:rsidR="00E171F7">
        <w:t xml:space="preserve">r fair value as indicated less, </w:t>
      </w:r>
      <w:r>
        <w:t>where applicable, any accumulated depreciation and impairment losses.</w:t>
      </w:r>
    </w:p>
    <w:p w:rsidR="00D2400B" w:rsidRDefault="00D2400B" w:rsidP="002419C9">
      <w:pPr>
        <w:rPr>
          <w:sz w:val="24"/>
          <w:szCs w:val="24"/>
        </w:rPr>
      </w:pPr>
      <w:r>
        <w:rPr>
          <w:u w:val="single"/>
        </w:rPr>
        <w:t>Plant and Equipment</w:t>
      </w:r>
    </w:p>
    <w:p w:rsidR="00D2400B" w:rsidRDefault="00D2400B" w:rsidP="002419C9">
      <w:pPr>
        <w:rPr>
          <w:sz w:val="24"/>
          <w:szCs w:val="24"/>
        </w:rPr>
      </w:pPr>
      <w:r>
        <w:t xml:space="preserve">Plant and equipment are measured on the cost basis less depreciation and impairment losses. </w:t>
      </w:r>
    </w:p>
    <w:p w:rsidR="00D2400B" w:rsidRDefault="00D2400B" w:rsidP="002419C9">
      <w:r>
        <w:t>The carrying amount of plant and equipment is reviewed annually by directors to ensure it is not in excess of the recoverable amount from these assets. The recoverable amount is assessed on the basis of the expected net cash flows that will be received from the assets’ employment and subsequent disposal. The expected net cash flows have been discounted to their present values in determining recoverable amounts.</w:t>
      </w:r>
    </w:p>
    <w:p w:rsidR="00D2400B" w:rsidRDefault="00D2400B" w:rsidP="002419C9">
      <w:r>
        <w:t>Plant and equipment that have been contributed at no cost or for nominal cost are valued at the fair value of the asset at the date it is acquired.</w:t>
      </w:r>
    </w:p>
    <w:p w:rsidR="00D2400B" w:rsidRDefault="00D2400B" w:rsidP="002419C9">
      <w:r>
        <w:t xml:space="preserve">Increases in the carrying amount arising on revaluation of land and building are credited to a revaluation reserve in equity. Decreases that offset previous increases of the same class of assets are charged against fair value reserves directly in equity; all other decreases are charged to the income statement. Each year the difference between depreciation based on the revalued carrying amount of the asset charged to the income statement and depreciation based on the revalued carrying amount of the asset charged to the income statement and depreciation based on the asset’s original cost is transferred from the revaluation reserve to retained earnings. </w:t>
      </w:r>
    </w:p>
    <w:p w:rsidR="00D2400B" w:rsidRDefault="00D2400B" w:rsidP="002419C9">
      <w:pPr>
        <w:rPr>
          <w:u w:val="single"/>
        </w:rPr>
      </w:pPr>
      <w:r>
        <w:rPr>
          <w:u w:val="single"/>
        </w:rPr>
        <w:t>Depreciation</w:t>
      </w:r>
    </w:p>
    <w:p w:rsidR="00D2400B" w:rsidRDefault="00D2400B" w:rsidP="002419C9">
      <w:r>
        <w:t>The depreciable amount of all fixed assets including building and capitalised lease assets, but excluding freehold land, is depreciated on a straight line basis over their useful lives to the entity commencing from the time the asset is held ready for use. Leasehold improvements are depreciated over the shorter of either the unexpired period of the lease or the estimated useful lives of the improvements.</w:t>
      </w:r>
    </w:p>
    <w:p w:rsidR="008841DC" w:rsidRDefault="008841DC" w:rsidP="00712543">
      <w:pPr>
        <w:spacing w:before="960" w:after="0"/>
        <w:jc w:val="center"/>
        <w:rPr>
          <w:rFonts w:ascii="Times New Roman" w:hAnsi="Times New Roman"/>
          <w:color w:val="000000"/>
        </w:rPr>
      </w:pPr>
      <w:r w:rsidRPr="00E171F7">
        <w:rPr>
          <w:i/>
          <w:color w:val="000000" w:themeColor="text1"/>
        </w:rPr>
        <w:t>T</w:t>
      </w:r>
      <w:r w:rsidRPr="00E171F7">
        <w:rPr>
          <w:i/>
          <w:iCs/>
          <w:color w:val="000000" w:themeColor="text1"/>
        </w:rPr>
        <w:t>hese notes form part of the financial statements</w:t>
      </w:r>
      <w:r>
        <w:rPr>
          <w:rFonts w:ascii="Times New Roman" w:hAnsi="Times New Roman"/>
          <w:color w:val="000000"/>
        </w:rPr>
        <w:br w:type="page"/>
      </w:r>
    </w:p>
    <w:p w:rsidR="00D24DFC" w:rsidRPr="00E171F7" w:rsidRDefault="00D24DFC" w:rsidP="00D24DFC">
      <w:pPr>
        <w:spacing w:before="480" w:after="0"/>
        <w:rPr>
          <w:sz w:val="48"/>
        </w:rPr>
      </w:pPr>
      <w:r w:rsidRPr="00E171F7">
        <w:rPr>
          <w:sz w:val="48"/>
        </w:rPr>
        <w:lastRenderedPageBreak/>
        <w:t>Notes to the Financial Statements</w:t>
      </w:r>
    </w:p>
    <w:p w:rsidR="00D24DFC" w:rsidRPr="00E171F7" w:rsidRDefault="00F2616A" w:rsidP="00D24DFC">
      <w:pPr>
        <w:rPr>
          <w:b/>
        </w:rPr>
      </w:pPr>
      <w:r>
        <w:rPr>
          <w:b/>
        </w:rPr>
        <w:t xml:space="preserve">For the Year ended 30 June </w:t>
      </w:r>
      <w:r w:rsidR="00985FF4">
        <w:rPr>
          <w:b/>
        </w:rPr>
        <w:t>2015</w:t>
      </w:r>
    </w:p>
    <w:p w:rsidR="00D24DFC" w:rsidRPr="000C7DE9" w:rsidRDefault="00D24DFC" w:rsidP="00D24DFC">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Pr="008841DC">
        <w:rPr>
          <w:rFonts w:cstheme="minorHAnsi"/>
          <w:bCs/>
          <w:color w:val="000000"/>
          <w:sz w:val="36"/>
        </w:rPr>
        <w:t>Statement of significant accounting policies (continued)</w:t>
      </w:r>
    </w:p>
    <w:p w:rsidR="00D2400B" w:rsidRDefault="00D2400B" w:rsidP="007E4389">
      <w:pPr>
        <w:spacing w:before="240"/>
        <w:rPr>
          <w:sz w:val="24"/>
          <w:szCs w:val="24"/>
        </w:rPr>
      </w:pPr>
      <w:r>
        <w:t>The depreciation rates used for each class of depreciable asset are:</w:t>
      </w:r>
    </w:p>
    <w:p w:rsidR="00D2400B" w:rsidRPr="00E171F7" w:rsidRDefault="00D2400B" w:rsidP="002419C9">
      <w:pPr>
        <w:pStyle w:val="ListParagraph"/>
        <w:numPr>
          <w:ilvl w:val="0"/>
          <w:numId w:val="15"/>
        </w:numPr>
        <w:ind w:left="720"/>
        <w:rPr>
          <w:sz w:val="24"/>
          <w:szCs w:val="24"/>
        </w:rPr>
      </w:pPr>
      <w:r w:rsidRPr="00002668">
        <w:t>Office Equipment</w:t>
      </w:r>
      <w:r w:rsidR="00E171F7">
        <w:rPr>
          <w:sz w:val="24"/>
          <w:szCs w:val="24"/>
        </w:rPr>
        <w:t xml:space="preserve">, </w:t>
      </w:r>
      <w:r w:rsidRPr="00002668">
        <w:t>25 %</w:t>
      </w:r>
    </w:p>
    <w:p w:rsidR="00D2400B" w:rsidRPr="00E171F7" w:rsidRDefault="00D2400B" w:rsidP="002419C9">
      <w:pPr>
        <w:pStyle w:val="ListParagraph"/>
        <w:numPr>
          <w:ilvl w:val="0"/>
          <w:numId w:val="15"/>
        </w:numPr>
        <w:ind w:left="720"/>
        <w:rPr>
          <w:sz w:val="24"/>
          <w:szCs w:val="24"/>
        </w:rPr>
      </w:pPr>
      <w:r w:rsidRPr="00002668">
        <w:t>Furniture</w:t>
      </w:r>
      <w:r w:rsidR="00E171F7">
        <w:rPr>
          <w:sz w:val="24"/>
          <w:szCs w:val="24"/>
        </w:rPr>
        <w:t xml:space="preserve">, </w:t>
      </w:r>
      <w:r w:rsidRPr="00002668">
        <w:t>20 %</w:t>
      </w:r>
    </w:p>
    <w:p w:rsidR="00D2400B" w:rsidRPr="00E171F7" w:rsidRDefault="00D2400B" w:rsidP="002419C9">
      <w:pPr>
        <w:pStyle w:val="ListParagraph"/>
        <w:numPr>
          <w:ilvl w:val="0"/>
          <w:numId w:val="15"/>
        </w:numPr>
        <w:ind w:left="720"/>
        <w:rPr>
          <w:sz w:val="24"/>
          <w:szCs w:val="24"/>
        </w:rPr>
      </w:pPr>
      <w:r w:rsidRPr="00002668">
        <w:t>Motor Vehicle</w:t>
      </w:r>
      <w:r w:rsidR="00E171F7">
        <w:rPr>
          <w:sz w:val="24"/>
          <w:szCs w:val="24"/>
        </w:rPr>
        <w:t>,</w:t>
      </w:r>
      <w:r w:rsidRPr="00002668">
        <w:t>17 %</w:t>
      </w:r>
    </w:p>
    <w:p w:rsidR="00D2400B" w:rsidRPr="00E171F7" w:rsidRDefault="00E171F7" w:rsidP="002419C9">
      <w:pPr>
        <w:pStyle w:val="ListParagraph"/>
        <w:numPr>
          <w:ilvl w:val="0"/>
          <w:numId w:val="15"/>
        </w:numPr>
        <w:ind w:left="720"/>
        <w:rPr>
          <w:sz w:val="24"/>
          <w:szCs w:val="24"/>
        </w:rPr>
      </w:pPr>
      <w:r>
        <w:t xml:space="preserve">Software, </w:t>
      </w:r>
      <w:r w:rsidR="00D2400B" w:rsidRPr="00002668">
        <w:t>33 %</w:t>
      </w:r>
    </w:p>
    <w:p w:rsidR="00E171F7" w:rsidRDefault="00D2400B" w:rsidP="00D24DFC">
      <w:r w:rsidRPr="00002668">
        <w:t>The assets</w:t>
      </w:r>
      <w:r w:rsidR="007E4389">
        <w:t>’</w:t>
      </w:r>
      <w:r w:rsidRPr="00002668">
        <w:t xml:space="preserve"> residual values and useful lives are reviewed,</w:t>
      </w:r>
      <w:r>
        <w:t xml:space="preserve"> and adjusted if appropriate, at each balance sheet date.</w:t>
      </w:r>
    </w:p>
    <w:p w:rsidR="00D2400B" w:rsidRDefault="00D2400B" w:rsidP="002419C9">
      <w:pPr>
        <w:rPr>
          <w:sz w:val="24"/>
          <w:szCs w:val="24"/>
        </w:rPr>
      </w:pPr>
      <w:r>
        <w:t>An asset’s carrying amount is written down immediately to its recoverable amount if the asset’s carrying amount is greater than its estimated recoverable amount.</w:t>
      </w:r>
    </w:p>
    <w:p w:rsidR="00D2400B" w:rsidRDefault="00D2400B" w:rsidP="002419C9">
      <w:pPr>
        <w:rPr>
          <w:sz w:val="24"/>
          <w:szCs w:val="24"/>
        </w:rPr>
      </w:pPr>
      <w:r>
        <w:t>Gains and losses on disposals are determined by comparing proceeds with the carrying amount. These gains or losses are included in the income statement. When revalued assets are sold, amounts included in the revaluation reserve relating to that asset are transferred to retained earnings.</w:t>
      </w:r>
    </w:p>
    <w:p w:rsidR="00D24DFC" w:rsidRPr="0083231D" w:rsidRDefault="00D2400B" w:rsidP="00D24DFC">
      <w:pPr>
        <w:pStyle w:val="Heading3"/>
        <w:numPr>
          <w:ilvl w:val="1"/>
          <w:numId w:val="13"/>
        </w:numPr>
        <w:ind w:left="1527"/>
      </w:pPr>
      <w:r w:rsidRPr="001A2FF7">
        <w:t>Income Tax</w:t>
      </w:r>
    </w:p>
    <w:p w:rsidR="00D2400B" w:rsidRDefault="00D2400B" w:rsidP="002419C9">
      <w:pPr>
        <w:rPr>
          <w:sz w:val="24"/>
          <w:szCs w:val="24"/>
        </w:rPr>
      </w:pPr>
      <w:r>
        <w:t xml:space="preserve">No provision for income tax has been raised as the entity is exempt from income tax under Division 50 of the </w:t>
      </w:r>
      <w:r w:rsidRPr="00B533BD">
        <w:rPr>
          <w:i/>
        </w:rPr>
        <w:t>Income Tax Assessment Act 1997</w:t>
      </w:r>
      <w:r>
        <w:t>.</w:t>
      </w:r>
    </w:p>
    <w:p w:rsidR="00D24DFC" w:rsidRPr="0083231D" w:rsidRDefault="00D2400B" w:rsidP="00D24DFC">
      <w:pPr>
        <w:pStyle w:val="Heading3"/>
        <w:numPr>
          <w:ilvl w:val="1"/>
          <w:numId w:val="13"/>
        </w:numPr>
        <w:ind w:left="1527"/>
      </w:pPr>
      <w:r w:rsidRPr="001A2FF7">
        <w:t>Costs</w:t>
      </w:r>
    </w:p>
    <w:p w:rsidR="00D2400B" w:rsidRDefault="00D2400B" w:rsidP="002419C9">
      <w:pPr>
        <w:rPr>
          <w:sz w:val="24"/>
          <w:szCs w:val="24"/>
        </w:rPr>
      </w:pPr>
      <w:r>
        <w:t>Borrowing costs directly attributable to the acquisition, construction or production of assets that necessarily take a substantial period of time to prepare for their intended use or sale, are added to the cost of those assets, until such time as the assets are substantially ready for their intended use or sale.</w:t>
      </w:r>
      <w:r w:rsidR="000B4B10">
        <w:t xml:space="preserve"> </w:t>
      </w:r>
      <w:r>
        <w:t>All other borrowing costs are recognised in income in the period in which they are incurred.</w:t>
      </w:r>
    </w:p>
    <w:p w:rsidR="00D2400B" w:rsidRPr="001A2FF7" w:rsidRDefault="00D2400B" w:rsidP="00D24DFC">
      <w:pPr>
        <w:pStyle w:val="Heading3"/>
        <w:numPr>
          <w:ilvl w:val="1"/>
          <w:numId w:val="13"/>
        </w:numPr>
        <w:ind w:left="1527"/>
      </w:pPr>
      <w:r w:rsidRPr="001A2FF7">
        <w:t>Financial Instruments</w:t>
      </w:r>
    </w:p>
    <w:p w:rsidR="00D2400B" w:rsidRDefault="00D2400B" w:rsidP="002419C9">
      <w:pPr>
        <w:rPr>
          <w:sz w:val="24"/>
          <w:szCs w:val="24"/>
        </w:rPr>
      </w:pPr>
      <w:r>
        <w:rPr>
          <w:u w:val="single"/>
        </w:rPr>
        <w:t>Initial Recognition and Measurement</w:t>
      </w:r>
    </w:p>
    <w:p w:rsidR="00D2400B" w:rsidRDefault="00D2400B" w:rsidP="002419C9">
      <w:pPr>
        <w:rPr>
          <w:sz w:val="24"/>
          <w:szCs w:val="24"/>
        </w:rPr>
      </w:pPr>
      <w:r>
        <w:t>Financial assets and financial liabilities are recognised when the entity becomes a party to the contractual provisions to the instrument. For financial assets, this is equivalent to the date that the company commits itself to either purchase or sell the asset (i.e. trade date accounting is adopted).</w:t>
      </w:r>
    </w:p>
    <w:p w:rsidR="00D2400B" w:rsidRDefault="00D2400B" w:rsidP="002419C9">
      <w:pPr>
        <w:rPr>
          <w:sz w:val="24"/>
          <w:szCs w:val="24"/>
        </w:rPr>
      </w:pPr>
      <w:r>
        <w:t>Financial instruments are initially measured at fair value plus transactions costs except where the instrument is classified 'at fair value through profit or loss' in which case transaction costs are expensed to profit or loss immediately.</w:t>
      </w:r>
    </w:p>
    <w:p w:rsidR="00D24DFC" w:rsidRDefault="00D24DFC" w:rsidP="00712543">
      <w:pPr>
        <w:pStyle w:val="Quote"/>
        <w:spacing w:before="600" w:after="0"/>
        <w:jc w:val="center"/>
        <w:rPr>
          <w:i w:val="0"/>
          <w:iCs w:val="0"/>
        </w:rPr>
      </w:pPr>
      <w:r w:rsidRPr="001A2FF7">
        <w:t>These notes form part of the financial statement</w:t>
      </w:r>
      <w:r>
        <w:br w:type="page"/>
      </w:r>
    </w:p>
    <w:p w:rsidR="00D24DFC" w:rsidRPr="00E171F7" w:rsidRDefault="00D24DFC" w:rsidP="00D24DFC">
      <w:pPr>
        <w:spacing w:before="480" w:after="0"/>
        <w:rPr>
          <w:sz w:val="48"/>
        </w:rPr>
      </w:pPr>
      <w:r w:rsidRPr="00E171F7">
        <w:rPr>
          <w:sz w:val="48"/>
        </w:rPr>
        <w:lastRenderedPageBreak/>
        <w:t>Notes to the Financial Statements</w:t>
      </w:r>
    </w:p>
    <w:p w:rsidR="00D24DFC" w:rsidRPr="00E171F7" w:rsidRDefault="00F2616A" w:rsidP="00D24DFC">
      <w:pPr>
        <w:rPr>
          <w:b/>
        </w:rPr>
      </w:pPr>
      <w:r>
        <w:rPr>
          <w:b/>
        </w:rPr>
        <w:t xml:space="preserve">For the Year ended 30 June </w:t>
      </w:r>
      <w:r w:rsidR="00985FF4">
        <w:rPr>
          <w:b/>
        </w:rPr>
        <w:t>2015</w:t>
      </w:r>
    </w:p>
    <w:p w:rsidR="00D24DFC" w:rsidRPr="000C7DE9" w:rsidRDefault="00D24DFC" w:rsidP="00D24DFC">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Pr="008841DC">
        <w:rPr>
          <w:rFonts w:cstheme="minorHAnsi"/>
          <w:bCs/>
          <w:color w:val="000000"/>
          <w:sz w:val="36"/>
        </w:rPr>
        <w:t>Statement of significant accounting policies (continued)</w:t>
      </w:r>
    </w:p>
    <w:p w:rsidR="00D2400B" w:rsidRPr="001A2FF7" w:rsidRDefault="00D2400B" w:rsidP="007E4389">
      <w:pPr>
        <w:spacing w:before="240"/>
        <w:rPr>
          <w:u w:val="single"/>
        </w:rPr>
      </w:pPr>
      <w:r w:rsidRPr="001A2FF7">
        <w:rPr>
          <w:u w:val="single"/>
        </w:rPr>
        <w:t>Classification and Subsequent Measurement</w:t>
      </w:r>
    </w:p>
    <w:p w:rsidR="00D2400B" w:rsidRPr="00B533BD" w:rsidRDefault="00D2400B" w:rsidP="002419C9">
      <w:r>
        <w:t xml:space="preserve">Finance instruments are subsequently measured at </w:t>
      </w:r>
      <w:proofErr w:type="gramStart"/>
      <w:r>
        <w:t>either fair</w:t>
      </w:r>
      <w:proofErr w:type="gramEnd"/>
      <w:r>
        <w:t xml:space="preserve"> value, amortised cost using the effective interest rate method or cost. Fair value represents the amount for which an asset could be exchanged or a liability settled, between knowledgeable, willing parties. </w:t>
      </w:r>
      <w:proofErr w:type="gramStart"/>
      <w:r>
        <w:t>Where available, quoted prices in an active market are used to determine fair value.</w:t>
      </w:r>
      <w:proofErr w:type="gramEnd"/>
      <w:r>
        <w:t xml:space="preserve"> In other circumstances, valuation techniques are adopted.</w:t>
      </w:r>
    </w:p>
    <w:p w:rsidR="00D2400B" w:rsidRDefault="00D2400B" w:rsidP="002419C9">
      <w:r>
        <w:t>Amortised cost is calculated as:</w:t>
      </w:r>
    </w:p>
    <w:p w:rsidR="00D2400B" w:rsidRDefault="00D2400B" w:rsidP="00D24DFC">
      <w:pPr>
        <w:pStyle w:val="ListParagraph"/>
        <w:numPr>
          <w:ilvl w:val="0"/>
          <w:numId w:val="18"/>
        </w:numPr>
        <w:spacing w:before="120"/>
        <w:ind w:left="720" w:hanging="720"/>
        <w:contextualSpacing w:val="0"/>
      </w:pPr>
      <w:r>
        <w:t>the amount at which the financial asset or financial liability is measured at initial recognition;</w:t>
      </w:r>
    </w:p>
    <w:p w:rsidR="00D2400B" w:rsidRDefault="00D2400B" w:rsidP="002419C9">
      <w:pPr>
        <w:pStyle w:val="ListParagraph"/>
        <w:numPr>
          <w:ilvl w:val="0"/>
          <w:numId w:val="18"/>
        </w:numPr>
        <w:spacing w:before="120"/>
        <w:ind w:left="0" w:firstLine="0"/>
        <w:contextualSpacing w:val="0"/>
      </w:pPr>
      <w:r>
        <w:t>less principal repayments;</w:t>
      </w:r>
    </w:p>
    <w:p w:rsidR="00D2400B" w:rsidRDefault="00D2400B" w:rsidP="00D24DFC">
      <w:pPr>
        <w:pStyle w:val="ListParagraph"/>
        <w:numPr>
          <w:ilvl w:val="0"/>
          <w:numId w:val="18"/>
        </w:numPr>
        <w:spacing w:before="120"/>
        <w:ind w:left="720" w:hanging="720"/>
        <w:contextualSpacing w:val="0"/>
      </w:pPr>
      <w:r>
        <w:t>plus or minus the cumulative amortisation of the difference, if any, between the amount initially recognised and the maturity amount calculated using the effective interest method; and</w:t>
      </w:r>
    </w:p>
    <w:p w:rsidR="00D2400B" w:rsidRPr="001A2FF7" w:rsidRDefault="00D2400B" w:rsidP="002419C9">
      <w:pPr>
        <w:pStyle w:val="ListParagraph"/>
        <w:numPr>
          <w:ilvl w:val="0"/>
          <w:numId w:val="18"/>
        </w:numPr>
        <w:spacing w:before="120"/>
        <w:ind w:left="0" w:firstLine="0"/>
        <w:contextualSpacing w:val="0"/>
      </w:pPr>
      <w:proofErr w:type="gramStart"/>
      <w:r w:rsidRPr="001A2FF7">
        <w:t>less</w:t>
      </w:r>
      <w:proofErr w:type="gramEnd"/>
      <w:r w:rsidRPr="001A2FF7">
        <w:t xml:space="preserve"> any reduction for impairment.</w:t>
      </w:r>
    </w:p>
    <w:p w:rsidR="00D2400B" w:rsidRDefault="00D2400B" w:rsidP="002419C9">
      <w:r>
        <w:t>The effective interest method is used to allocate interest income or interest expense over the relevant period and is equivalent to the rate that exactly discounts estimated future cash payments or receipts (including fees, transaction costs and other premiums or discounts) through the expected life (or when this cannot be reliably predicted, the contractual term) of the financial instrument to the net carrying amount of the financial asset or financial liability.</w:t>
      </w:r>
    </w:p>
    <w:p w:rsidR="00D2400B" w:rsidRDefault="00D2400B" w:rsidP="002419C9">
      <w:pPr>
        <w:rPr>
          <w:u w:val="single"/>
        </w:rPr>
      </w:pPr>
      <w:r>
        <w:t>Revisions to expected future net cash flows will necessitate an adjustment to the carrying value with a consequential recognition of an income or expense in profit or loss.</w:t>
      </w:r>
      <w:r>
        <w:rPr>
          <w:u w:val="single"/>
        </w:rPr>
        <w:t xml:space="preserve"> </w:t>
      </w:r>
    </w:p>
    <w:p w:rsidR="00D2400B" w:rsidRDefault="00D2400B" w:rsidP="002419C9">
      <w:pPr>
        <w:rPr>
          <w:sz w:val="24"/>
          <w:szCs w:val="24"/>
        </w:rPr>
      </w:pPr>
      <w:r>
        <w:rPr>
          <w:u w:val="single"/>
        </w:rPr>
        <w:t>Financial Assets at Fair Value through Profit and Loss</w:t>
      </w:r>
    </w:p>
    <w:p w:rsidR="00D2400B" w:rsidRDefault="00D2400B" w:rsidP="002419C9">
      <w:r>
        <w:t>Financial assets are classified at ‘fair value through profit or loss’ when they are either held for trading for the purpose of short term profit taking, derivatives not held for hedging purposes, or when they are designated as such to avoid an accounting mismatch or to enable performance evaluation where a group of financial assets is managed by key management personnel on a fair value basis in accordance with a documented risk management or investment strategy. Such assets are subsequently measured at fair value with changes in carrying value being included in profit or loss.</w:t>
      </w:r>
    </w:p>
    <w:p w:rsidR="00D24DFC" w:rsidRDefault="00D24DFC" w:rsidP="00D668F9">
      <w:pPr>
        <w:spacing w:before="1680"/>
        <w:jc w:val="center"/>
        <w:rPr>
          <w:i/>
        </w:rPr>
      </w:pPr>
      <w:r w:rsidRPr="004F350B">
        <w:rPr>
          <w:i/>
        </w:rPr>
        <w:t>These notes form part of the financial statements</w:t>
      </w:r>
      <w:r>
        <w:rPr>
          <w:i/>
        </w:rPr>
        <w:br w:type="page"/>
      </w:r>
    </w:p>
    <w:p w:rsidR="00D24DFC" w:rsidRPr="00E171F7" w:rsidRDefault="00D24DFC" w:rsidP="00D24DFC">
      <w:pPr>
        <w:spacing w:before="480" w:after="0"/>
        <w:rPr>
          <w:sz w:val="48"/>
        </w:rPr>
      </w:pPr>
      <w:r w:rsidRPr="00E171F7">
        <w:rPr>
          <w:sz w:val="48"/>
        </w:rPr>
        <w:lastRenderedPageBreak/>
        <w:t>Notes to the Financial Statements</w:t>
      </w:r>
    </w:p>
    <w:p w:rsidR="00D24DFC" w:rsidRPr="00E171F7" w:rsidRDefault="00F2616A" w:rsidP="00D24DFC">
      <w:pPr>
        <w:rPr>
          <w:b/>
        </w:rPr>
      </w:pPr>
      <w:r>
        <w:rPr>
          <w:b/>
        </w:rPr>
        <w:t xml:space="preserve">For the Year ended 30 June </w:t>
      </w:r>
      <w:r w:rsidR="00985FF4">
        <w:rPr>
          <w:b/>
        </w:rPr>
        <w:t>2015</w:t>
      </w:r>
    </w:p>
    <w:p w:rsidR="00D24DFC" w:rsidRPr="000C7DE9" w:rsidRDefault="00D24DFC" w:rsidP="00D24DFC">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Pr="008841DC">
        <w:rPr>
          <w:rFonts w:cstheme="minorHAnsi"/>
          <w:bCs/>
          <w:color w:val="000000"/>
          <w:sz w:val="36"/>
        </w:rPr>
        <w:t>Statement of significant accounting policies (continued)</w:t>
      </w:r>
    </w:p>
    <w:p w:rsidR="00D2400B" w:rsidRDefault="00D2400B" w:rsidP="00D668F9">
      <w:pPr>
        <w:spacing w:before="200"/>
        <w:rPr>
          <w:sz w:val="24"/>
          <w:szCs w:val="24"/>
        </w:rPr>
      </w:pPr>
      <w:r>
        <w:rPr>
          <w:u w:val="single"/>
        </w:rPr>
        <w:t>Available-for-Sale Financial Assets</w:t>
      </w:r>
    </w:p>
    <w:p w:rsidR="00D2400B" w:rsidRDefault="00D2400B" w:rsidP="002419C9">
      <w:r>
        <w:t>Available-for-sale financial assets are non-derivative financial assets that are either not capable of being classified into other categories of financial assets due to their nature, or they are designated as such by management. They comprise investments in the equity of other entities where there is neither a fixed maturity nor fixed or determinable payments.</w:t>
      </w:r>
    </w:p>
    <w:p w:rsidR="00D2400B" w:rsidRDefault="00D2400B" w:rsidP="002419C9">
      <w:pPr>
        <w:rPr>
          <w:sz w:val="24"/>
          <w:szCs w:val="24"/>
        </w:rPr>
      </w:pPr>
      <w:proofErr w:type="spellStart"/>
      <w:r>
        <w:rPr>
          <w:u w:val="single"/>
        </w:rPr>
        <w:t>Derecognition</w:t>
      </w:r>
      <w:proofErr w:type="spellEnd"/>
    </w:p>
    <w:p w:rsidR="00D2400B" w:rsidRDefault="00D2400B" w:rsidP="002419C9">
      <w:r>
        <w:t xml:space="preserve">Financial assets are derecognised where the contractual rights to receipt of cash flows expires or the asset is transferred to another party whereby the entity no longer has any significant continuing involvement in the risks and benefits associated with the asset. </w:t>
      </w:r>
    </w:p>
    <w:p w:rsidR="00D2400B" w:rsidRDefault="00D2400B" w:rsidP="002419C9">
      <w:pPr>
        <w:rPr>
          <w:i/>
          <w:iCs/>
          <w:sz w:val="16"/>
          <w:szCs w:val="16"/>
        </w:rPr>
      </w:pPr>
      <w:r>
        <w:t>Financial liabilities are derecognised where the related obligations are either discharged, cancelled or expire. The difference between the carrying value of the financial liability extinguished or transferred to another party and the fair value of consideration paid, including the transfer of non-cash assets or liabilities assumed is recognised in profit of loss.</w:t>
      </w:r>
      <w:r>
        <w:rPr>
          <w:i/>
          <w:iCs/>
          <w:sz w:val="16"/>
          <w:szCs w:val="16"/>
        </w:rPr>
        <w:t xml:space="preserve"> </w:t>
      </w:r>
    </w:p>
    <w:p w:rsidR="00D24DFC" w:rsidRPr="0083231D" w:rsidRDefault="00D2400B" w:rsidP="00D24DFC">
      <w:pPr>
        <w:pStyle w:val="Heading3"/>
        <w:numPr>
          <w:ilvl w:val="1"/>
          <w:numId w:val="13"/>
        </w:numPr>
        <w:ind w:left="1527"/>
      </w:pPr>
      <w:r w:rsidRPr="0083231D">
        <w:t>Goods and Services Tax (GST)</w:t>
      </w:r>
      <w:r w:rsidR="00D24DFC" w:rsidRPr="00D24DFC">
        <w:t xml:space="preserve"> </w:t>
      </w:r>
    </w:p>
    <w:p w:rsidR="00D2400B" w:rsidRDefault="00D2400B" w:rsidP="002419C9">
      <w:r>
        <w:t>Revenues, expenses and assets are recognised net of the amount of GST, except where the amount of GST incurred is not recoverable from the Tax Office. In these circumstances, the GST is recognised as part of the cost of acquisition of the asset or as part of an item of the expense. Receivables and payables in the balance sheet are shown inclusive of GST. Cash flows are presented in the cash flow statement on a gross basis, except for the GST component of investing and financing activities, which are disclosed as operating cash flows.</w:t>
      </w:r>
    </w:p>
    <w:p w:rsidR="00D24DFC" w:rsidRPr="0083231D" w:rsidRDefault="00D2400B" w:rsidP="00D24DFC">
      <w:pPr>
        <w:pStyle w:val="Heading3"/>
        <w:numPr>
          <w:ilvl w:val="1"/>
          <w:numId w:val="13"/>
        </w:numPr>
        <w:ind w:left="1527"/>
      </w:pPr>
      <w:r w:rsidRPr="004F350B">
        <w:t>Employee Benefits</w:t>
      </w:r>
    </w:p>
    <w:p w:rsidR="00D2400B" w:rsidRPr="00EA316F" w:rsidRDefault="00D2400B" w:rsidP="002419C9">
      <w:r w:rsidRPr="00EA30D4">
        <w:t>Liabilities for annual leave expected to be settled within 12 months of the reporting date are recognised in other payables in respect of employee’s service up to the reporting date. They are measured at the amounts expected to be paid when liabilities are settled.</w:t>
      </w:r>
    </w:p>
    <w:p w:rsidR="00D2400B" w:rsidRDefault="00D2400B" w:rsidP="002419C9">
      <w:r w:rsidRPr="00D916BE">
        <w:t xml:space="preserve">Liabilities for long service leave are measured at the amounts expected to be paid when the liabilities are settled in respect of services provided by employee up to the </w:t>
      </w:r>
      <w:r>
        <w:t>reporting date, plus related on-</w:t>
      </w:r>
      <w:r w:rsidRPr="00D916BE">
        <w:t>costs.</w:t>
      </w:r>
      <w:r>
        <w:t xml:space="preserve"> </w:t>
      </w:r>
      <w:r w:rsidRPr="00DB6EC2">
        <w:t>These are recorded at present value of future liabilities.</w:t>
      </w:r>
      <w:r>
        <w:t xml:space="preserve"> </w:t>
      </w:r>
    </w:p>
    <w:p w:rsidR="00D24DFC" w:rsidRPr="0083231D" w:rsidRDefault="00D24DFC" w:rsidP="00D24DFC">
      <w:pPr>
        <w:pStyle w:val="Heading3"/>
        <w:numPr>
          <w:ilvl w:val="1"/>
          <w:numId w:val="13"/>
        </w:numPr>
        <w:ind w:left="1527"/>
      </w:pPr>
      <w:r w:rsidRPr="004F350B">
        <w:t>Comparative Figures</w:t>
      </w:r>
    </w:p>
    <w:p w:rsidR="00D24DFC" w:rsidRDefault="00D24DFC" w:rsidP="00D24DFC">
      <w:pPr>
        <w:rPr>
          <w:sz w:val="24"/>
          <w:szCs w:val="24"/>
        </w:rPr>
      </w:pPr>
      <w:r>
        <w:t>When required by Accounting Standards, comparative figures have been adjusted to conform to changes in presentation for the current financial year.</w:t>
      </w:r>
    </w:p>
    <w:p w:rsidR="00D24DFC" w:rsidRDefault="00D24DFC" w:rsidP="00D668F9">
      <w:pPr>
        <w:widowControl w:val="0"/>
        <w:autoSpaceDE w:val="0"/>
        <w:autoSpaceDN w:val="0"/>
        <w:adjustRightInd w:val="0"/>
        <w:spacing w:before="960" w:after="0" w:line="240" w:lineRule="auto"/>
        <w:jc w:val="center"/>
        <w:rPr>
          <w:rFonts w:ascii="Times New Roman" w:hAnsi="Times New Roman"/>
          <w:i/>
          <w:iCs/>
          <w:color w:val="000000"/>
          <w:sz w:val="16"/>
          <w:szCs w:val="16"/>
        </w:rPr>
      </w:pPr>
      <w:r w:rsidRPr="00FE78F8">
        <w:rPr>
          <w:rFonts w:cstheme="minorHAnsi"/>
          <w:i/>
          <w:iCs/>
          <w:color w:val="000000"/>
          <w:szCs w:val="16"/>
        </w:rPr>
        <w:t>These notes form part of the financial statements</w:t>
      </w:r>
      <w:r>
        <w:rPr>
          <w:rFonts w:ascii="Times New Roman" w:hAnsi="Times New Roman"/>
          <w:i/>
          <w:iCs/>
          <w:color w:val="000000"/>
          <w:sz w:val="16"/>
          <w:szCs w:val="16"/>
        </w:rPr>
        <w:br w:type="page"/>
      </w:r>
    </w:p>
    <w:p w:rsidR="00A32AC0" w:rsidRPr="00E171F7" w:rsidRDefault="00A32AC0" w:rsidP="00A32AC0">
      <w:pPr>
        <w:spacing w:before="480" w:after="0"/>
        <w:rPr>
          <w:sz w:val="48"/>
        </w:rPr>
      </w:pPr>
      <w:r w:rsidRPr="00E171F7">
        <w:rPr>
          <w:sz w:val="48"/>
        </w:rPr>
        <w:lastRenderedPageBreak/>
        <w:t>Notes to the Financial Statements</w:t>
      </w:r>
    </w:p>
    <w:p w:rsidR="00A32AC0" w:rsidRPr="00E171F7" w:rsidRDefault="00C336BD" w:rsidP="00A32AC0">
      <w:pPr>
        <w:rPr>
          <w:b/>
        </w:rPr>
      </w:pPr>
      <w:r>
        <w:rPr>
          <w:b/>
        </w:rPr>
        <w:t xml:space="preserve">For the Year ended 30 June </w:t>
      </w:r>
      <w:r w:rsidR="00985FF4">
        <w:rPr>
          <w:b/>
        </w:rPr>
        <w:t>2015</w:t>
      </w:r>
    </w:p>
    <w:p w:rsidR="00A32AC0" w:rsidRPr="000C7DE9" w:rsidRDefault="00A32AC0" w:rsidP="00A32AC0">
      <w:pPr>
        <w:widowControl w:val="0"/>
        <w:tabs>
          <w:tab w:val="left" w:pos="709"/>
          <w:tab w:val="left" w:pos="1729"/>
        </w:tabs>
        <w:autoSpaceDE w:val="0"/>
        <w:autoSpaceDN w:val="0"/>
        <w:adjustRightInd w:val="0"/>
        <w:spacing w:before="200" w:after="0" w:line="240" w:lineRule="auto"/>
        <w:ind w:right="-615"/>
        <w:rPr>
          <w:rFonts w:cstheme="minorHAnsi"/>
          <w:color w:val="000000"/>
          <w:sz w:val="36"/>
        </w:rPr>
      </w:pPr>
      <w:r>
        <w:rPr>
          <w:rFonts w:cstheme="minorHAnsi"/>
          <w:bCs/>
          <w:color w:val="000000"/>
          <w:sz w:val="36"/>
        </w:rPr>
        <w:t>1.</w:t>
      </w:r>
      <w:r>
        <w:rPr>
          <w:rFonts w:cstheme="minorHAnsi"/>
          <w:bCs/>
          <w:color w:val="000000"/>
          <w:sz w:val="36"/>
        </w:rPr>
        <w:tab/>
      </w:r>
      <w:r w:rsidRPr="008841DC">
        <w:rPr>
          <w:rFonts w:cstheme="minorHAnsi"/>
          <w:bCs/>
          <w:color w:val="000000"/>
          <w:sz w:val="36"/>
        </w:rPr>
        <w:t>Statement of significant accounting policies (continued)</w:t>
      </w:r>
    </w:p>
    <w:p w:rsidR="0015721B" w:rsidRPr="0083231D" w:rsidRDefault="00D2400B" w:rsidP="007E4389">
      <w:pPr>
        <w:pStyle w:val="Heading3"/>
        <w:numPr>
          <w:ilvl w:val="1"/>
          <w:numId w:val="13"/>
        </w:numPr>
        <w:spacing w:before="480"/>
        <w:ind w:left="1527"/>
      </w:pPr>
      <w:r w:rsidRPr="004F350B">
        <w:t>Critical Accounting Estimates and Judgments</w:t>
      </w:r>
    </w:p>
    <w:p w:rsidR="00D2400B" w:rsidRDefault="00D2400B" w:rsidP="002419C9">
      <w:pPr>
        <w:rPr>
          <w:sz w:val="24"/>
          <w:szCs w:val="24"/>
        </w:rPr>
      </w:pPr>
      <w:r>
        <w:t>The directors evaluate estimates and judgments incorporated into the financial report based on historical knowledge and best available current information. Estimates assume a reasonable expectation of future events and are based on current trends and economic data, obtained both externally and within the company.</w:t>
      </w:r>
    </w:p>
    <w:p w:rsidR="00D2400B" w:rsidRDefault="00D2400B" w:rsidP="002419C9">
      <w:pPr>
        <w:rPr>
          <w:sz w:val="24"/>
          <w:szCs w:val="24"/>
        </w:rPr>
      </w:pPr>
      <w:r>
        <w:rPr>
          <w:u w:val="single"/>
        </w:rPr>
        <w:t>Key Estimates - Impairment</w:t>
      </w:r>
    </w:p>
    <w:p w:rsidR="00D2400B" w:rsidRDefault="00D2400B" w:rsidP="002419C9">
      <w:pPr>
        <w:rPr>
          <w:sz w:val="24"/>
          <w:szCs w:val="24"/>
        </w:rPr>
      </w:pPr>
      <w:r>
        <w:t>The company assesses impairment at each reporting date by evaluation of conditions and events specific to the company that may be indicative of impairment triggers. Recoverable amounts of relevant assets are reassessed using value-in-use calculations which incorporate various key assumptions.</w:t>
      </w:r>
    </w:p>
    <w:p w:rsidR="00D2400B" w:rsidRPr="004F350B" w:rsidRDefault="00D2400B" w:rsidP="0015721B">
      <w:pPr>
        <w:pStyle w:val="Heading3"/>
        <w:numPr>
          <w:ilvl w:val="1"/>
          <w:numId w:val="13"/>
        </w:numPr>
        <w:ind w:left="1527"/>
      </w:pPr>
      <w:r w:rsidRPr="004F350B">
        <w:t>New Accounting Standards for Application in Future Periods</w:t>
      </w:r>
    </w:p>
    <w:p w:rsidR="00D2400B" w:rsidRDefault="00D2400B" w:rsidP="002419C9">
      <w:r>
        <w:t>The AASB has issued new, revised and amended Standards and Interpretations that have mandatory application dates for future reporting periods and which the company has decided not to early adopt. The company does not anticipate early adoption of any of the reporting requirements would have any material effect on the company’s financial statements.</w:t>
      </w:r>
    </w:p>
    <w:p w:rsidR="00D2400B" w:rsidRDefault="00D2400B" w:rsidP="00712543">
      <w:pPr>
        <w:widowControl w:val="0"/>
        <w:autoSpaceDE w:val="0"/>
        <w:autoSpaceDN w:val="0"/>
        <w:adjustRightInd w:val="0"/>
        <w:spacing w:before="5280" w:after="0" w:line="240" w:lineRule="auto"/>
        <w:jc w:val="center"/>
        <w:rPr>
          <w:rFonts w:ascii="Times New Roman" w:hAnsi="Times New Roman"/>
          <w:i/>
          <w:iCs/>
          <w:color w:val="000000"/>
          <w:sz w:val="16"/>
          <w:szCs w:val="16"/>
        </w:rPr>
      </w:pPr>
      <w:r w:rsidRPr="00FE78F8">
        <w:rPr>
          <w:rFonts w:cstheme="minorHAnsi"/>
          <w:i/>
          <w:iCs/>
          <w:color w:val="000000"/>
          <w:szCs w:val="16"/>
        </w:rPr>
        <w:t>These notes form part of the financial statements</w:t>
      </w:r>
      <w:r>
        <w:rPr>
          <w:rFonts w:ascii="Times New Roman" w:hAnsi="Times New Roman"/>
          <w:i/>
          <w:iCs/>
          <w:color w:val="000000"/>
          <w:sz w:val="16"/>
          <w:szCs w:val="16"/>
        </w:rPr>
        <w:br w:type="page"/>
      </w:r>
    </w:p>
    <w:p w:rsidR="0015721B" w:rsidRPr="00E171F7" w:rsidRDefault="0015721B" w:rsidP="00515B5E">
      <w:pPr>
        <w:spacing w:before="480" w:after="0"/>
        <w:rPr>
          <w:sz w:val="48"/>
        </w:rPr>
      </w:pPr>
      <w:r w:rsidRPr="00E171F7">
        <w:rPr>
          <w:sz w:val="48"/>
        </w:rPr>
        <w:lastRenderedPageBreak/>
        <w:t>Notes to the Financial Statements</w:t>
      </w:r>
    </w:p>
    <w:p w:rsidR="0015721B" w:rsidRPr="00E171F7" w:rsidRDefault="00F2616A" w:rsidP="0015721B">
      <w:pPr>
        <w:rPr>
          <w:b/>
        </w:rPr>
      </w:pPr>
      <w:r>
        <w:rPr>
          <w:b/>
        </w:rPr>
        <w:t xml:space="preserve">For the Year ended 30 June </w:t>
      </w:r>
      <w:r w:rsidR="00985FF4">
        <w:rPr>
          <w:b/>
        </w:rPr>
        <w:t>2015</w:t>
      </w:r>
    </w:p>
    <w:tbl>
      <w:tblPr>
        <w:tblStyle w:val="TableGrid"/>
        <w:tblW w:w="9185" w:type="dxa"/>
        <w:jc w:val="center"/>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venue"/>
      </w:tblPr>
      <w:tblGrid>
        <w:gridCol w:w="5483"/>
        <w:gridCol w:w="1510"/>
        <w:gridCol w:w="2192"/>
      </w:tblGrid>
      <w:tr w:rsidR="00DD22FF" w:rsidTr="00712378">
        <w:trPr>
          <w:cnfStyle w:val="100000000000" w:firstRow="1" w:lastRow="0" w:firstColumn="0" w:lastColumn="0" w:oddVBand="0" w:evenVBand="0" w:oddHBand="0" w:evenHBand="0" w:firstRowFirstColumn="0" w:firstRowLastColumn="0" w:lastRowFirstColumn="0" w:lastRowLastColumn="0"/>
          <w:tblHeader/>
          <w:jc w:val="center"/>
        </w:trPr>
        <w:tc>
          <w:tcPr>
            <w:tcW w:w="2985" w:type="pct"/>
          </w:tcPr>
          <w:p w:rsidR="00DD22FF" w:rsidRPr="002419C9" w:rsidRDefault="00CB5652" w:rsidP="006D2D33">
            <w:pPr>
              <w:pStyle w:val="Heading2"/>
              <w:spacing w:before="0"/>
              <w:outlineLvl w:val="1"/>
            </w:pPr>
            <w:r w:rsidRPr="002419C9">
              <w:t>2.</w:t>
            </w:r>
            <w:r w:rsidR="000B4B10">
              <w:t xml:space="preserve"> </w:t>
            </w:r>
            <w:r w:rsidR="00DD22FF" w:rsidRPr="002419C9">
              <w:t>Revenue</w:t>
            </w:r>
          </w:p>
        </w:tc>
        <w:tc>
          <w:tcPr>
            <w:tcW w:w="822" w:type="pct"/>
          </w:tcPr>
          <w:p w:rsidR="00DD22FF" w:rsidRPr="002419C9" w:rsidRDefault="00985FF4" w:rsidP="00F2616A">
            <w:pPr>
              <w:spacing w:after="60" w:line="240" w:lineRule="auto"/>
              <w:ind w:left="176"/>
              <w:jc w:val="right"/>
            </w:pPr>
            <w:r>
              <w:rPr>
                <w:color w:val="000000"/>
              </w:rPr>
              <w:t>2015</w:t>
            </w:r>
            <w:r w:rsidR="00DD22FF" w:rsidRPr="002419C9">
              <w:rPr>
                <w:color w:val="000000"/>
              </w:rPr>
              <w:br/>
              <w:t>$</w:t>
            </w:r>
          </w:p>
        </w:tc>
        <w:tc>
          <w:tcPr>
            <w:tcW w:w="1193" w:type="pct"/>
          </w:tcPr>
          <w:p w:rsidR="00DD22FF" w:rsidRPr="00D40661" w:rsidRDefault="00985FF4" w:rsidP="00B66B21">
            <w:pPr>
              <w:spacing w:after="60" w:line="240" w:lineRule="auto"/>
              <w:jc w:val="right"/>
            </w:pPr>
            <w:r>
              <w:rPr>
                <w:color w:val="000000"/>
              </w:rPr>
              <w:t>2014</w:t>
            </w:r>
            <w:r w:rsidR="00DD22FF" w:rsidRPr="002419C9">
              <w:rPr>
                <w:color w:val="000000"/>
              </w:rPr>
              <w:br/>
              <w:t>$</w:t>
            </w:r>
          </w:p>
        </w:tc>
      </w:tr>
      <w:tr w:rsidR="00CE367A" w:rsidRPr="00522D47" w:rsidTr="00712378">
        <w:trPr>
          <w:jc w:val="center"/>
        </w:trPr>
        <w:tc>
          <w:tcPr>
            <w:tcW w:w="2985" w:type="pct"/>
          </w:tcPr>
          <w:p w:rsidR="00CE367A" w:rsidRPr="00522D47" w:rsidRDefault="00CE367A" w:rsidP="00DD22FF">
            <w:pPr>
              <w:spacing w:after="60" w:line="240" w:lineRule="auto"/>
            </w:pPr>
            <w:r w:rsidRPr="00522D47">
              <w:t>Miscellaneous Income</w:t>
            </w:r>
          </w:p>
        </w:tc>
        <w:tc>
          <w:tcPr>
            <w:tcW w:w="822" w:type="pct"/>
          </w:tcPr>
          <w:p w:rsidR="00CE367A" w:rsidRPr="00522D47" w:rsidRDefault="002E420A" w:rsidP="004B6628">
            <w:pPr>
              <w:spacing w:after="60" w:line="240" w:lineRule="auto"/>
              <w:ind w:left="176"/>
              <w:jc w:val="right"/>
            </w:pPr>
            <w:r w:rsidRPr="00522D47">
              <w:t>11,239</w:t>
            </w:r>
          </w:p>
        </w:tc>
        <w:tc>
          <w:tcPr>
            <w:tcW w:w="1193" w:type="pct"/>
          </w:tcPr>
          <w:p w:rsidR="00CE367A" w:rsidRPr="00522D47" w:rsidRDefault="00CE367A" w:rsidP="0033488A">
            <w:pPr>
              <w:spacing w:after="60" w:line="240" w:lineRule="auto"/>
              <w:ind w:left="176"/>
              <w:jc w:val="right"/>
            </w:pPr>
            <w:r w:rsidRPr="00522D47">
              <w:t>5,992</w:t>
            </w:r>
          </w:p>
        </w:tc>
      </w:tr>
      <w:tr w:rsidR="00CE367A" w:rsidRPr="00522D47" w:rsidTr="00712378">
        <w:trPr>
          <w:jc w:val="center"/>
        </w:trPr>
        <w:tc>
          <w:tcPr>
            <w:tcW w:w="2985" w:type="pct"/>
          </w:tcPr>
          <w:p w:rsidR="00CE367A" w:rsidRPr="00522D47" w:rsidRDefault="00CE367A" w:rsidP="00DD22FF">
            <w:pPr>
              <w:spacing w:after="60" w:line="240" w:lineRule="auto"/>
            </w:pPr>
            <w:r w:rsidRPr="00522D47">
              <w:t>Industry course</w:t>
            </w:r>
          </w:p>
        </w:tc>
        <w:tc>
          <w:tcPr>
            <w:tcW w:w="822" w:type="pct"/>
          </w:tcPr>
          <w:p w:rsidR="00CE367A" w:rsidRPr="00522D47" w:rsidRDefault="002E420A" w:rsidP="004B6628">
            <w:pPr>
              <w:spacing w:after="60" w:line="240" w:lineRule="auto"/>
              <w:ind w:left="176"/>
              <w:jc w:val="right"/>
            </w:pPr>
            <w:r w:rsidRPr="00522D47">
              <w:t>54,111</w:t>
            </w:r>
          </w:p>
        </w:tc>
        <w:tc>
          <w:tcPr>
            <w:tcW w:w="1193" w:type="pct"/>
          </w:tcPr>
          <w:p w:rsidR="00CE367A" w:rsidRPr="00522D47" w:rsidRDefault="00CE367A" w:rsidP="0033488A">
            <w:pPr>
              <w:spacing w:after="60" w:line="240" w:lineRule="auto"/>
              <w:ind w:left="176"/>
              <w:jc w:val="right"/>
            </w:pPr>
            <w:r w:rsidRPr="00522D47">
              <w:t>90,005</w:t>
            </w:r>
          </w:p>
        </w:tc>
      </w:tr>
      <w:tr w:rsidR="00CE367A" w:rsidRPr="00522D47" w:rsidTr="00F42C98">
        <w:trPr>
          <w:jc w:val="center"/>
        </w:trPr>
        <w:tc>
          <w:tcPr>
            <w:tcW w:w="2985" w:type="pct"/>
          </w:tcPr>
          <w:p w:rsidR="00CE367A" w:rsidRPr="00522D47" w:rsidRDefault="00CE367A" w:rsidP="00DD22FF">
            <w:pPr>
              <w:spacing w:after="60" w:line="240" w:lineRule="auto"/>
            </w:pPr>
            <w:r w:rsidRPr="00522D47">
              <w:t>Access iQ</w:t>
            </w:r>
          </w:p>
        </w:tc>
        <w:tc>
          <w:tcPr>
            <w:tcW w:w="822" w:type="pct"/>
            <w:tcBorders>
              <w:bottom w:val="single" w:sz="4" w:space="0" w:color="auto"/>
            </w:tcBorders>
          </w:tcPr>
          <w:p w:rsidR="00CE367A" w:rsidRPr="00522D47" w:rsidRDefault="002E420A" w:rsidP="004B6628">
            <w:pPr>
              <w:spacing w:after="60" w:line="240" w:lineRule="auto"/>
              <w:ind w:left="176"/>
              <w:jc w:val="right"/>
            </w:pPr>
            <w:r w:rsidRPr="00522D47">
              <w:t>299,872</w:t>
            </w:r>
          </w:p>
        </w:tc>
        <w:tc>
          <w:tcPr>
            <w:tcW w:w="1193" w:type="pct"/>
            <w:tcBorders>
              <w:bottom w:val="single" w:sz="4" w:space="0" w:color="auto"/>
            </w:tcBorders>
          </w:tcPr>
          <w:p w:rsidR="00CE367A" w:rsidRPr="00522D47" w:rsidRDefault="00CE367A" w:rsidP="0033488A">
            <w:pPr>
              <w:spacing w:after="60" w:line="240" w:lineRule="auto"/>
              <w:ind w:left="176"/>
              <w:jc w:val="right"/>
            </w:pPr>
            <w:r w:rsidRPr="00522D47">
              <w:t>138,657</w:t>
            </w:r>
          </w:p>
        </w:tc>
      </w:tr>
      <w:tr w:rsidR="00CE367A" w:rsidTr="00F42C98">
        <w:trPr>
          <w:jc w:val="center"/>
        </w:trPr>
        <w:tc>
          <w:tcPr>
            <w:tcW w:w="2985" w:type="pct"/>
          </w:tcPr>
          <w:p w:rsidR="00CE367A" w:rsidRPr="00522D47" w:rsidRDefault="00CE367A" w:rsidP="00DD22FF">
            <w:pPr>
              <w:spacing w:after="60" w:line="240" w:lineRule="auto"/>
            </w:pPr>
          </w:p>
        </w:tc>
        <w:tc>
          <w:tcPr>
            <w:tcW w:w="822" w:type="pct"/>
            <w:tcBorders>
              <w:top w:val="single" w:sz="4" w:space="0" w:color="auto"/>
              <w:bottom w:val="double" w:sz="4" w:space="0" w:color="auto"/>
            </w:tcBorders>
          </w:tcPr>
          <w:p w:rsidR="00CE367A" w:rsidRPr="00522D47" w:rsidRDefault="002E420A" w:rsidP="004B6628">
            <w:pPr>
              <w:spacing w:after="60" w:line="240" w:lineRule="auto"/>
              <w:ind w:left="176"/>
              <w:jc w:val="right"/>
            </w:pPr>
            <w:r w:rsidRPr="00522D47">
              <w:t>365,312</w:t>
            </w:r>
          </w:p>
        </w:tc>
        <w:tc>
          <w:tcPr>
            <w:tcW w:w="1193" w:type="pct"/>
            <w:tcBorders>
              <w:top w:val="single" w:sz="4" w:space="0" w:color="auto"/>
              <w:bottom w:val="double" w:sz="4" w:space="0" w:color="auto"/>
            </w:tcBorders>
          </w:tcPr>
          <w:p w:rsidR="00CE367A" w:rsidRPr="00522D47" w:rsidRDefault="00CE367A" w:rsidP="0033488A">
            <w:pPr>
              <w:spacing w:after="60" w:line="240" w:lineRule="auto"/>
              <w:ind w:left="176"/>
              <w:jc w:val="right"/>
            </w:pPr>
            <w:r w:rsidRPr="00522D47">
              <w:t>234,655</w:t>
            </w:r>
          </w:p>
        </w:tc>
      </w:tr>
    </w:tbl>
    <w:p w:rsidR="000C7DE9" w:rsidRDefault="000C7DE9" w:rsidP="00B90CF7">
      <w:pPr>
        <w:spacing w:line="240" w:lineRule="auto"/>
      </w:pP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et financial income"/>
      </w:tblPr>
      <w:tblGrid>
        <w:gridCol w:w="5484"/>
        <w:gridCol w:w="1514"/>
        <w:gridCol w:w="2187"/>
      </w:tblGrid>
      <w:tr w:rsidR="00B90CF7" w:rsidRPr="00522D47" w:rsidTr="000234B1">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B90CF7" w:rsidRPr="00522D47" w:rsidRDefault="00CB5652" w:rsidP="00CB5652">
            <w:pPr>
              <w:pStyle w:val="Heading2"/>
              <w:outlineLvl w:val="1"/>
            </w:pPr>
            <w:r w:rsidRPr="00522D47">
              <w:t>3.</w:t>
            </w:r>
            <w:r w:rsidR="000B4B10" w:rsidRPr="00522D47">
              <w:t xml:space="preserve"> </w:t>
            </w:r>
            <w:r w:rsidR="00B90CF7" w:rsidRPr="00522D47">
              <w:t>Net Financial Income (expense)</w:t>
            </w:r>
          </w:p>
        </w:tc>
        <w:tc>
          <w:tcPr>
            <w:tcW w:w="1514" w:type="dxa"/>
          </w:tcPr>
          <w:p w:rsidR="00B90CF7" w:rsidRPr="00522D47" w:rsidRDefault="00985FF4" w:rsidP="00F2616A">
            <w:pPr>
              <w:jc w:val="right"/>
            </w:pPr>
            <w:r w:rsidRPr="00522D47">
              <w:t>2015</w:t>
            </w:r>
            <w:r w:rsidR="00B90CF7" w:rsidRPr="00522D47">
              <w:br/>
              <w:t>$</w:t>
            </w:r>
          </w:p>
        </w:tc>
        <w:tc>
          <w:tcPr>
            <w:tcW w:w="2187" w:type="dxa"/>
          </w:tcPr>
          <w:p w:rsidR="00B90CF7" w:rsidRPr="00522D47" w:rsidRDefault="00985FF4" w:rsidP="00F2616A">
            <w:pPr>
              <w:jc w:val="right"/>
            </w:pPr>
            <w:r w:rsidRPr="00522D47">
              <w:t>2014</w:t>
            </w:r>
            <w:r w:rsidR="00B90CF7" w:rsidRPr="00522D47">
              <w:br/>
              <w:t>$</w:t>
            </w:r>
          </w:p>
        </w:tc>
      </w:tr>
      <w:tr w:rsidR="00CE367A" w:rsidRPr="00522D47" w:rsidTr="000234B1">
        <w:trPr>
          <w:jc w:val="center"/>
        </w:trPr>
        <w:tc>
          <w:tcPr>
            <w:tcW w:w="0" w:type="auto"/>
          </w:tcPr>
          <w:p w:rsidR="00CE367A" w:rsidRPr="00522D47" w:rsidRDefault="00CE367A" w:rsidP="007A7882">
            <w:pPr>
              <w:spacing w:after="60" w:line="240" w:lineRule="auto"/>
            </w:pPr>
            <w:r w:rsidRPr="00522D47">
              <w:t>Net Dividend and distribution received</w:t>
            </w:r>
          </w:p>
        </w:tc>
        <w:tc>
          <w:tcPr>
            <w:tcW w:w="1514" w:type="dxa"/>
          </w:tcPr>
          <w:p w:rsidR="00CE367A" w:rsidRPr="00522D47" w:rsidRDefault="004B169E" w:rsidP="007A7882">
            <w:pPr>
              <w:spacing w:after="60" w:line="240" w:lineRule="auto"/>
              <w:jc w:val="right"/>
            </w:pPr>
            <w:r w:rsidRPr="00522D47">
              <w:t>327,840</w:t>
            </w:r>
          </w:p>
        </w:tc>
        <w:tc>
          <w:tcPr>
            <w:tcW w:w="2187" w:type="dxa"/>
          </w:tcPr>
          <w:p w:rsidR="00CE367A" w:rsidRPr="00522D47" w:rsidRDefault="00CE367A" w:rsidP="0033488A">
            <w:pPr>
              <w:spacing w:after="60" w:line="240" w:lineRule="auto"/>
              <w:jc w:val="right"/>
            </w:pPr>
            <w:r w:rsidRPr="00522D47">
              <w:t>388,025</w:t>
            </w:r>
          </w:p>
        </w:tc>
      </w:tr>
      <w:tr w:rsidR="00CE367A" w:rsidRPr="00522D47" w:rsidTr="000234B1">
        <w:trPr>
          <w:jc w:val="center"/>
        </w:trPr>
        <w:tc>
          <w:tcPr>
            <w:tcW w:w="0" w:type="auto"/>
          </w:tcPr>
          <w:p w:rsidR="00CE367A" w:rsidRPr="00522D47" w:rsidRDefault="00CE367A" w:rsidP="007A7882">
            <w:pPr>
              <w:spacing w:after="60" w:line="240" w:lineRule="auto"/>
            </w:pPr>
            <w:r w:rsidRPr="00522D47">
              <w:t>Interest Received</w:t>
            </w:r>
          </w:p>
        </w:tc>
        <w:tc>
          <w:tcPr>
            <w:tcW w:w="1514" w:type="dxa"/>
          </w:tcPr>
          <w:p w:rsidR="00CE367A" w:rsidRPr="00522D47" w:rsidRDefault="00CE367A" w:rsidP="004B169E">
            <w:pPr>
              <w:spacing w:after="60" w:line="240" w:lineRule="auto"/>
              <w:jc w:val="right"/>
            </w:pPr>
            <w:r w:rsidRPr="00522D47">
              <w:t>3,</w:t>
            </w:r>
            <w:r w:rsidR="004B169E" w:rsidRPr="00522D47">
              <w:t>467</w:t>
            </w:r>
          </w:p>
        </w:tc>
        <w:tc>
          <w:tcPr>
            <w:tcW w:w="2187" w:type="dxa"/>
          </w:tcPr>
          <w:p w:rsidR="00CE367A" w:rsidRPr="00522D47" w:rsidRDefault="00CE367A" w:rsidP="0033488A">
            <w:pPr>
              <w:spacing w:after="60" w:line="240" w:lineRule="auto"/>
              <w:jc w:val="right"/>
            </w:pPr>
            <w:r w:rsidRPr="00522D47">
              <w:t>3,212</w:t>
            </w:r>
          </w:p>
        </w:tc>
      </w:tr>
      <w:tr w:rsidR="00CE367A" w:rsidRPr="00522D47" w:rsidTr="000234B1">
        <w:trPr>
          <w:jc w:val="center"/>
        </w:trPr>
        <w:tc>
          <w:tcPr>
            <w:tcW w:w="0" w:type="auto"/>
          </w:tcPr>
          <w:p w:rsidR="00CE367A" w:rsidRPr="00522D47" w:rsidRDefault="00CE367A" w:rsidP="007A7882">
            <w:pPr>
              <w:spacing w:after="60" w:line="240" w:lineRule="auto"/>
            </w:pPr>
            <w:r w:rsidRPr="00522D47">
              <w:t>Movement in Net Market Values</w:t>
            </w:r>
          </w:p>
        </w:tc>
        <w:tc>
          <w:tcPr>
            <w:tcW w:w="1514" w:type="dxa"/>
          </w:tcPr>
          <w:p w:rsidR="00CE367A" w:rsidRPr="00522D47" w:rsidRDefault="00CE367A" w:rsidP="004B169E">
            <w:pPr>
              <w:spacing w:after="60" w:line="240" w:lineRule="auto"/>
              <w:jc w:val="right"/>
            </w:pPr>
            <w:r w:rsidRPr="00522D47">
              <w:t>(</w:t>
            </w:r>
            <w:r w:rsidR="004B169E" w:rsidRPr="00522D47">
              <w:t>545,361</w:t>
            </w:r>
            <w:r w:rsidRPr="00522D47">
              <w:t>)</w:t>
            </w:r>
          </w:p>
        </w:tc>
        <w:tc>
          <w:tcPr>
            <w:tcW w:w="2187" w:type="dxa"/>
          </w:tcPr>
          <w:p w:rsidR="00CE367A" w:rsidRPr="00522D47" w:rsidRDefault="00CE367A" w:rsidP="0033488A">
            <w:pPr>
              <w:spacing w:after="60" w:line="240" w:lineRule="auto"/>
              <w:jc w:val="right"/>
            </w:pPr>
            <w:r w:rsidRPr="00522D47">
              <w:t>(400,965)</w:t>
            </w:r>
          </w:p>
        </w:tc>
      </w:tr>
      <w:tr w:rsidR="00CE367A" w:rsidRPr="00522D47" w:rsidTr="00F42C98">
        <w:trPr>
          <w:jc w:val="center"/>
        </w:trPr>
        <w:tc>
          <w:tcPr>
            <w:tcW w:w="0" w:type="auto"/>
          </w:tcPr>
          <w:p w:rsidR="00CE367A" w:rsidRPr="00522D47" w:rsidRDefault="00CE367A" w:rsidP="007A7882">
            <w:pPr>
              <w:spacing w:after="60" w:line="240" w:lineRule="auto"/>
            </w:pPr>
            <w:r w:rsidRPr="00522D47">
              <w:t>Profit (loss) on Disposal of Investments</w:t>
            </w:r>
          </w:p>
        </w:tc>
        <w:tc>
          <w:tcPr>
            <w:tcW w:w="1514" w:type="dxa"/>
            <w:tcBorders>
              <w:bottom w:val="single" w:sz="4" w:space="0" w:color="auto"/>
            </w:tcBorders>
          </w:tcPr>
          <w:p w:rsidR="00CE367A" w:rsidRPr="00522D47" w:rsidRDefault="004B169E" w:rsidP="007A7882">
            <w:pPr>
              <w:spacing w:after="60" w:line="240" w:lineRule="auto"/>
              <w:jc w:val="right"/>
            </w:pPr>
            <w:r w:rsidRPr="00522D47">
              <w:t>259,201</w:t>
            </w:r>
          </w:p>
        </w:tc>
        <w:tc>
          <w:tcPr>
            <w:tcW w:w="2187" w:type="dxa"/>
            <w:tcBorders>
              <w:bottom w:val="single" w:sz="4" w:space="0" w:color="auto"/>
            </w:tcBorders>
          </w:tcPr>
          <w:p w:rsidR="00CE367A" w:rsidRPr="00522D47" w:rsidRDefault="00CE367A" w:rsidP="0033488A">
            <w:pPr>
              <w:spacing w:after="60" w:line="240" w:lineRule="auto"/>
              <w:jc w:val="right"/>
            </w:pPr>
            <w:r w:rsidRPr="00522D47">
              <w:t>807,730</w:t>
            </w:r>
          </w:p>
        </w:tc>
      </w:tr>
      <w:tr w:rsidR="00CE367A" w:rsidRPr="007A7882" w:rsidTr="00F42C98">
        <w:trPr>
          <w:jc w:val="center"/>
        </w:trPr>
        <w:tc>
          <w:tcPr>
            <w:tcW w:w="0" w:type="auto"/>
          </w:tcPr>
          <w:p w:rsidR="00CE367A" w:rsidRPr="00522D47" w:rsidRDefault="00CE367A" w:rsidP="007A7882">
            <w:pPr>
              <w:spacing w:after="60" w:line="240" w:lineRule="auto"/>
            </w:pPr>
          </w:p>
        </w:tc>
        <w:tc>
          <w:tcPr>
            <w:tcW w:w="1514" w:type="dxa"/>
            <w:tcBorders>
              <w:top w:val="single" w:sz="4" w:space="0" w:color="auto"/>
              <w:bottom w:val="double" w:sz="4" w:space="0" w:color="auto"/>
            </w:tcBorders>
          </w:tcPr>
          <w:p w:rsidR="00CE367A" w:rsidRPr="00522D47" w:rsidRDefault="004B169E" w:rsidP="007A7882">
            <w:pPr>
              <w:spacing w:after="60" w:line="240" w:lineRule="auto"/>
              <w:jc w:val="right"/>
            </w:pPr>
            <w:r w:rsidRPr="00522D47">
              <w:t>45,147</w:t>
            </w:r>
          </w:p>
        </w:tc>
        <w:tc>
          <w:tcPr>
            <w:tcW w:w="2187" w:type="dxa"/>
            <w:tcBorders>
              <w:top w:val="single" w:sz="4" w:space="0" w:color="auto"/>
              <w:bottom w:val="double" w:sz="4" w:space="0" w:color="auto"/>
            </w:tcBorders>
          </w:tcPr>
          <w:p w:rsidR="00CE367A" w:rsidRPr="00522D47" w:rsidRDefault="00CE367A" w:rsidP="0033488A">
            <w:pPr>
              <w:spacing w:after="60" w:line="240" w:lineRule="auto"/>
              <w:jc w:val="right"/>
            </w:pPr>
            <w:r w:rsidRPr="00522D47">
              <w:t>798,002</w:t>
            </w:r>
          </w:p>
        </w:tc>
      </w:tr>
    </w:tbl>
    <w:p w:rsidR="000C7DE9" w:rsidRDefault="000C7DE9" w:rsidP="00B90CF7">
      <w:pPr>
        <w:spacing w:line="240" w:lineRule="auto"/>
      </w:pPr>
    </w:p>
    <w:tbl>
      <w:tblPr>
        <w:tblStyle w:val="TableGrid"/>
        <w:tblW w:w="94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mployee expenses"/>
      </w:tblPr>
      <w:tblGrid>
        <w:gridCol w:w="5249"/>
        <w:gridCol w:w="186"/>
        <w:gridCol w:w="33"/>
        <w:gridCol w:w="1512"/>
        <w:gridCol w:w="14"/>
        <w:gridCol w:w="19"/>
        <w:gridCol w:w="2358"/>
        <w:gridCol w:w="14"/>
        <w:gridCol w:w="19"/>
      </w:tblGrid>
      <w:tr w:rsidR="00B90CF7" w:rsidRPr="00D40661" w:rsidTr="00F42C98">
        <w:trPr>
          <w:gridAfter w:val="1"/>
          <w:cnfStyle w:val="100000000000" w:firstRow="1" w:lastRow="0" w:firstColumn="0" w:lastColumn="0" w:oddVBand="0" w:evenVBand="0" w:oddHBand="0" w:evenHBand="0" w:firstRowFirstColumn="0" w:firstRowLastColumn="0" w:lastRowFirstColumn="0" w:lastRowLastColumn="0"/>
          <w:wAfter w:w="19" w:type="dxa"/>
          <w:tblHeader/>
          <w:jc w:val="center"/>
        </w:trPr>
        <w:tc>
          <w:tcPr>
            <w:tcW w:w="5249" w:type="dxa"/>
          </w:tcPr>
          <w:p w:rsidR="00B90CF7" w:rsidRPr="00B90CF7" w:rsidRDefault="00CB5652" w:rsidP="006D2D33">
            <w:pPr>
              <w:pStyle w:val="Heading2"/>
              <w:spacing w:before="0"/>
              <w:outlineLvl w:val="1"/>
            </w:pPr>
            <w:r>
              <w:t>4.</w:t>
            </w:r>
            <w:r w:rsidR="000B4B10">
              <w:t xml:space="preserve"> </w:t>
            </w:r>
            <w:r w:rsidR="00B90CF7" w:rsidRPr="00B90CF7">
              <w:t>Employee Expenses</w:t>
            </w:r>
          </w:p>
        </w:tc>
        <w:tc>
          <w:tcPr>
            <w:tcW w:w="1745" w:type="dxa"/>
            <w:gridSpan w:val="4"/>
          </w:tcPr>
          <w:p w:rsidR="00B90CF7" w:rsidRPr="00D40661" w:rsidRDefault="00985FF4" w:rsidP="003206AB">
            <w:pPr>
              <w:spacing w:after="60" w:line="240" w:lineRule="auto"/>
              <w:jc w:val="right"/>
            </w:pPr>
            <w:r>
              <w:rPr>
                <w:color w:val="000000"/>
              </w:rPr>
              <w:t>2015</w:t>
            </w:r>
            <w:r w:rsidR="00B90CF7">
              <w:rPr>
                <w:color w:val="000000"/>
              </w:rPr>
              <w:br/>
              <w:t>$</w:t>
            </w:r>
          </w:p>
        </w:tc>
        <w:tc>
          <w:tcPr>
            <w:tcW w:w="2391" w:type="dxa"/>
            <w:gridSpan w:val="3"/>
          </w:tcPr>
          <w:p w:rsidR="00B90CF7" w:rsidRPr="00D40661" w:rsidRDefault="00985FF4" w:rsidP="00F2616A">
            <w:pPr>
              <w:spacing w:after="60" w:line="240" w:lineRule="auto"/>
              <w:jc w:val="right"/>
            </w:pPr>
            <w:r>
              <w:rPr>
                <w:color w:val="000000"/>
              </w:rPr>
              <w:t>2014</w:t>
            </w:r>
            <w:r w:rsidR="00B90CF7">
              <w:rPr>
                <w:color w:val="000000"/>
              </w:rPr>
              <w:br/>
              <w:t>$</w:t>
            </w:r>
          </w:p>
        </w:tc>
      </w:tr>
      <w:tr w:rsidR="00CE367A" w:rsidRPr="00522D47" w:rsidTr="00F42C98">
        <w:trPr>
          <w:gridAfter w:val="2"/>
          <w:wAfter w:w="33" w:type="dxa"/>
          <w:jc w:val="center"/>
        </w:trPr>
        <w:tc>
          <w:tcPr>
            <w:tcW w:w="5435" w:type="dxa"/>
            <w:gridSpan w:val="2"/>
          </w:tcPr>
          <w:p w:rsidR="00CE367A" w:rsidRPr="00522D47" w:rsidRDefault="00CE367A" w:rsidP="00362112">
            <w:pPr>
              <w:spacing w:after="60" w:line="240" w:lineRule="auto"/>
            </w:pPr>
            <w:r w:rsidRPr="00522D47">
              <w:rPr>
                <w:color w:val="000000"/>
              </w:rPr>
              <w:t>Wages and salaries</w:t>
            </w:r>
          </w:p>
        </w:tc>
        <w:tc>
          <w:tcPr>
            <w:tcW w:w="1545" w:type="dxa"/>
            <w:gridSpan w:val="2"/>
          </w:tcPr>
          <w:p w:rsidR="00CE367A" w:rsidRPr="00522D47" w:rsidRDefault="00CE367A" w:rsidP="000C4CEA">
            <w:pPr>
              <w:spacing w:after="60" w:line="240" w:lineRule="auto"/>
              <w:jc w:val="right"/>
              <w:rPr>
                <w:szCs w:val="22"/>
              </w:rPr>
            </w:pPr>
            <w:r w:rsidRPr="00522D47">
              <w:rPr>
                <w:szCs w:val="22"/>
              </w:rPr>
              <w:t>(</w:t>
            </w:r>
            <w:r w:rsidR="000C4CEA" w:rsidRPr="00522D47">
              <w:rPr>
                <w:szCs w:val="22"/>
              </w:rPr>
              <w:t>973,169</w:t>
            </w:r>
            <w:r w:rsidRPr="00522D47">
              <w:rPr>
                <w:szCs w:val="22"/>
              </w:rPr>
              <w:t>)</w:t>
            </w:r>
          </w:p>
        </w:tc>
        <w:tc>
          <w:tcPr>
            <w:tcW w:w="2391" w:type="dxa"/>
            <w:gridSpan w:val="3"/>
          </w:tcPr>
          <w:p w:rsidR="00CE367A" w:rsidRPr="00522D47" w:rsidRDefault="00CE367A" w:rsidP="0033488A">
            <w:pPr>
              <w:spacing w:after="60" w:line="240" w:lineRule="auto"/>
              <w:jc w:val="right"/>
              <w:rPr>
                <w:szCs w:val="22"/>
              </w:rPr>
            </w:pPr>
            <w:r w:rsidRPr="00522D47">
              <w:rPr>
                <w:szCs w:val="22"/>
              </w:rPr>
              <w:t>(843,635)</w:t>
            </w:r>
          </w:p>
        </w:tc>
      </w:tr>
      <w:tr w:rsidR="00CE367A" w:rsidRPr="00522D47" w:rsidTr="00F42C98">
        <w:trPr>
          <w:gridAfter w:val="2"/>
          <w:wAfter w:w="33" w:type="dxa"/>
          <w:jc w:val="center"/>
        </w:trPr>
        <w:tc>
          <w:tcPr>
            <w:tcW w:w="5435" w:type="dxa"/>
            <w:gridSpan w:val="2"/>
          </w:tcPr>
          <w:p w:rsidR="00CE367A" w:rsidRPr="00522D47" w:rsidRDefault="00CE367A" w:rsidP="00362112">
            <w:pPr>
              <w:spacing w:after="60" w:line="240" w:lineRule="auto"/>
            </w:pPr>
            <w:r w:rsidRPr="00522D47">
              <w:rPr>
                <w:color w:val="000000"/>
              </w:rPr>
              <w:t>Superannuation contribution</w:t>
            </w:r>
          </w:p>
        </w:tc>
        <w:tc>
          <w:tcPr>
            <w:tcW w:w="1545" w:type="dxa"/>
            <w:gridSpan w:val="2"/>
          </w:tcPr>
          <w:p w:rsidR="00CE367A" w:rsidRPr="00522D47" w:rsidRDefault="00CE367A" w:rsidP="000C4CEA">
            <w:pPr>
              <w:spacing w:after="60" w:line="240" w:lineRule="auto"/>
              <w:jc w:val="right"/>
              <w:rPr>
                <w:szCs w:val="22"/>
              </w:rPr>
            </w:pPr>
            <w:r w:rsidRPr="00522D47">
              <w:rPr>
                <w:szCs w:val="22"/>
              </w:rPr>
              <w:t>(</w:t>
            </w:r>
            <w:r w:rsidR="000C4CEA" w:rsidRPr="00522D47">
              <w:rPr>
                <w:szCs w:val="22"/>
              </w:rPr>
              <w:t>91,861</w:t>
            </w:r>
            <w:r w:rsidRPr="00522D47">
              <w:rPr>
                <w:szCs w:val="22"/>
              </w:rPr>
              <w:t>)</w:t>
            </w:r>
          </w:p>
        </w:tc>
        <w:tc>
          <w:tcPr>
            <w:tcW w:w="2391" w:type="dxa"/>
            <w:gridSpan w:val="3"/>
          </w:tcPr>
          <w:p w:rsidR="00CE367A" w:rsidRPr="00522D47" w:rsidRDefault="00CE367A" w:rsidP="0033488A">
            <w:pPr>
              <w:spacing w:after="60" w:line="240" w:lineRule="auto"/>
              <w:jc w:val="right"/>
              <w:rPr>
                <w:szCs w:val="22"/>
              </w:rPr>
            </w:pPr>
            <w:r w:rsidRPr="00522D47">
              <w:rPr>
                <w:szCs w:val="22"/>
              </w:rPr>
              <w:t>(77,241)</w:t>
            </w:r>
          </w:p>
        </w:tc>
      </w:tr>
      <w:tr w:rsidR="00CE367A" w:rsidRPr="00522D47" w:rsidTr="00F42C98">
        <w:trPr>
          <w:gridAfter w:val="2"/>
          <w:wAfter w:w="33" w:type="dxa"/>
          <w:jc w:val="center"/>
        </w:trPr>
        <w:tc>
          <w:tcPr>
            <w:tcW w:w="5435" w:type="dxa"/>
            <w:gridSpan w:val="2"/>
          </w:tcPr>
          <w:p w:rsidR="00CE367A" w:rsidRPr="00522D47" w:rsidRDefault="00CE367A" w:rsidP="00362112">
            <w:pPr>
              <w:spacing w:after="60" w:line="240" w:lineRule="auto"/>
            </w:pPr>
            <w:r w:rsidRPr="00522D47">
              <w:rPr>
                <w:color w:val="000000"/>
              </w:rPr>
              <w:t>Employee benefits</w:t>
            </w:r>
          </w:p>
        </w:tc>
        <w:tc>
          <w:tcPr>
            <w:tcW w:w="1545" w:type="dxa"/>
            <w:gridSpan w:val="2"/>
          </w:tcPr>
          <w:p w:rsidR="00CE367A" w:rsidRPr="00522D47" w:rsidRDefault="00CE367A" w:rsidP="000C4CEA">
            <w:pPr>
              <w:spacing w:after="60" w:line="240" w:lineRule="auto"/>
              <w:jc w:val="right"/>
              <w:rPr>
                <w:szCs w:val="22"/>
              </w:rPr>
            </w:pPr>
            <w:r w:rsidRPr="00522D47">
              <w:rPr>
                <w:szCs w:val="22"/>
              </w:rPr>
              <w:t>(</w:t>
            </w:r>
            <w:r w:rsidR="000C4CEA" w:rsidRPr="00522D47">
              <w:rPr>
                <w:szCs w:val="22"/>
              </w:rPr>
              <w:t>21,217</w:t>
            </w:r>
            <w:r w:rsidRPr="00522D47">
              <w:rPr>
                <w:szCs w:val="22"/>
              </w:rPr>
              <w:t>)</w:t>
            </w:r>
          </w:p>
        </w:tc>
        <w:tc>
          <w:tcPr>
            <w:tcW w:w="2391" w:type="dxa"/>
            <w:gridSpan w:val="3"/>
          </w:tcPr>
          <w:p w:rsidR="00CE367A" w:rsidRPr="00522D47" w:rsidRDefault="00CE367A" w:rsidP="0033488A">
            <w:pPr>
              <w:spacing w:after="60" w:line="240" w:lineRule="auto"/>
              <w:jc w:val="right"/>
              <w:rPr>
                <w:szCs w:val="22"/>
              </w:rPr>
            </w:pPr>
            <w:r w:rsidRPr="00522D47">
              <w:rPr>
                <w:szCs w:val="22"/>
              </w:rPr>
              <w:t>(13,198)</w:t>
            </w:r>
          </w:p>
        </w:tc>
      </w:tr>
      <w:tr w:rsidR="00CE367A" w:rsidRPr="00522D47" w:rsidTr="00F42C98">
        <w:trPr>
          <w:gridAfter w:val="2"/>
          <w:wAfter w:w="33" w:type="dxa"/>
          <w:jc w:val="center"/>
        </w:trPr>
        <w:tc>
          <w:tcPr>
            <w:tcW w:w="5435" w:type="dxa"/>
            <w:gridSpan w:val="2"/>
          </w:tcPr>
          <w:p w:rsidR="00CE367A" w:rsidRPr="00522D47" w:rsidRDefault="00CE367A" w:rsidP="00362112">
            <w:pPr>
              <w:spacing w:after="60" w:line="240" w:lineRule="auto"/>
              <w:rPr>
                <w:color w:val="000000"/>
              </w:rPr>
            </w:pPr>
            <w:r w:rsidRPr="00522D47">
              <w:rPr>
                <w:color w:val="000000"/>
              </w:rPr>
              <w:t>Other</w:t>
            </w:r>
          </w:p>
        </w:tc>
        <w:tc>
          <w:tcPr>
            <w:tcW w:w="1545" w:type="dxa"/>
            <w:gridSpan w:val="2"/>
            <w:tcBorders>
              <w:bottom w:val="single" w:sz="4" w:space="0" w:color="auto"/>
            </w:tcBorders>
          </w:tcPr>
          <w:p w:rsidR="00CE367A" w:rsidRPr="00522D47" w:rsidRDefault="000C4CEA" w:rsidP="000C4CEA">
            <w:pPr>
              <w:spacing w:after="60" w:line="240" w:lineRule="auto"/>
              <w:jc w:val="right"/>
              <w:rPr>
                <w:color w:val="000000"/>
              </w:rPr>
            </w:pPr>
            <w:r w:rsidRPr="00522D47">
              <w:rPr>
                <w:color w:val="000000"/>
              </w:rPr>
              <w:t>(175,</w:t>
            </w:r>
            <w:r w:rsidR="00CE367A" w:rsidRPr="00522D47">
              <w:rPr>
                <w:color w:val="000000"/>
              </w:rPr>
              <w:t>6</w:t>
            </w:r>
            <w:r w:rsidRPr="00522D47">
              <w:rPr>
                <w:color w:val="000000"/>
              </w:rPr>
              <w:t>68</w:t>
            </w:r>
            <w:r w:rsidR="00CE367A" w:rsidRPr="00522D47">
              <w:rPr>
                <w:color w:val="000000"/>
              </w:rPr>
              <w:t>)</w:t>
            </w:r>
          </w:p>
        </w:tc>
        <w:tc>
          <w:tcPr>
            <w:tcW w:w="2391" w:type="dxa"/>
            <w:gridSpan w:val="3"/>
            <w:tcBorders>
              <w:bottom w:val="single" w:sz="4" w:space="0" w:color="auto"/>
            </w:tcBorders>
          </w:tcPr>
          <w:p w:rsidR="00CE367A" w:rsidRPr="00522D47" w:rsidRDefault="00CE367A" w:rsidP="0033488A">
            <w:pPr>
              <w:spacing w:after="60" w:line="240" w:lineRule="auto"/>
              <w:jc w:val="right"/>
              <w:rPr>
                <w:color w:val="000000"/>
              </w:rPr>
            </w:pPr>
            <w:r w:rsidRPr="00522D47">
              <w:rPr>
                <w:color w:val="000000"/>
              </w:rPr>
              <w:t>(175,316)</w:t>
            </w:r>
          </w:p>
        </w:tc>
      </w:tr>
      <w:tr w:rsidR="00B90CF7" w:rsidRPr="00D40661" w:rsidTr="00F42C98">
        <w:trPr>
          <w:jc w:val="center"/>
        </w:trPr>
        <w:tc>
          <w:tcPr>
            <w:tcW w:w="5468" w:type="dxa"/>
            <w:gridSpan w:val="3"/>
          </w:tcPr>
          <w:p w:rsidR="00B90CF7" w:rsidRPr="00522D47" w:rsidRDefault="00B90CF7" w:rsidP="00362112">
            <w:pPr>
              <w:spacing w:after="60" w:line="240" w:lineRule="auto"/>
            </w:pPr>
          </w:p>
        </w:tc>
        <w:tc>
          <w:tcPr>
            <w:tcW w:w="1545" w:type="dxa"/>
            <w:gridSpan w:val="3"/>
            <w:tcBorders>
              <w:top w:val="single" w:sz="4" w:space="0" w:color="auto"/>
              <w:bottom w:val="double" w:sz="4" w:space="0" w:color="auto"/>
            </w:tcBorders>
          </w:tcPr>
          <w:p w:rsidR="00B90CF7" w:rsidRPr="00522D47" w:rsidRDefault="00E54E2F" w:rsidP="000C4CEA">
            <w:pPr>
              <w:spacing w:after="60" w:line="240" w:lineRule="auto"/>
              <w:jc w:val="right"/>
            </w:pPr>
            <w:r w:rsidRPr="00522D47">
              <w:t>(1,</w:t>
            </w:r>
            <w:r w:rsidR="000C4CEA" w:rsidRPr="00522D47">
              <w:t>261,915</w:t>
            </w:r>
            <w:r w:rsidRPr="00522D47">
              <w:t>)</w:t>
            </w:r>
          </w:p>
        </w:tc>
        <w:tc>
          <w:tcPr>
            <w:tcW w:w="2391" w:type="dxa"/>
            <w:gridSpan w:val="3"/>
            <w:tcBorders>
              <w:top w:val="single" w:sz="4" w:space="0" w:color="auto"/>
              <w:bottom w:val="double" w:sz="4" w:space="0" w:color="auto"/>
            </w:tcBorders>
          </w:tcPr>
          <w:p w:rsidR="00B90CF7" w:rsidRPr="00522D47" w:rsidRDefault="00CE367A" w:rsidP="003206AB">
            <w:pPr>
              <w:spacing w:after="60" w:line="240" w:lineRule="auto"/>
              <w:jc w:val="right"/>
            </w:pPr>
            <w:r w:rsidRPr="00522D47">
              <w:t>(1,109,390)</w:t>
            </w:r>
          </w:p>
        </w:tc>
      </w:tr>
    </w:tbl>
    <w:p w:rsidR="00B90CF7" w:rsidRDefault="00B90CF7" w:rsidP="00B90CF7">
      <w:pPr>
        <w:spacing w:line="240" w:lineRule="auto"/>
      </w:pPr>
    </w:p>
    <w:tbl>
      <w:tblPr>
        <w:tblStyle w:val="TableGrid"/>
        <w:tblW w:w="9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uditor remuneration"/>
      </w:tblPr>
      <w:tblGrid>
        <w:gridCol w:w="5326"/>
        <w:gridCol w:w="1554"/>
        <w:gridCol w:w="2365"/>
      </w:tblGrid>
      <w:tr w:rsidR="00B90CF7" w:rsidRPr="00D40661" w:rsidTr="00F42C98">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rsidR="00B90CF7" w:rsidRPr="00ED467E" w:rsidRDefault="00CB5652" w:rsidP="006D2D33">
            <w:pPr>
              <w:pStyle w:val="Heading2"/>
              <w:spacing w:before="0"/>
              <w:outlineLvl w:val="1"/>
            </w:pPr>
            <w:r>
              <w:t>5.</w:t>
            </w:r>
            <w:r w:rsidR="000B4B10">
              <w:t xml:space="preserve"> </w:t>
            </w:r>
            <w:r w:rsidR="00B90CF7" w:rsidRPr="00ED467E">
              <w:t>Auditor’s Remuneration</w:t>
            </w:r>
          </w:p>
        </w:tc>
        <w:tc>
          <w:tcPr>
            <w:tcW w:w="1554" w:type="dxa"/>
          </w:tcPr>
          <w:p w:rsidR="00B90CF7" w:rsidRPr="00D40661" w:rsidRDefault="00985FF4" w:rsidP="003206AB">
            <w:pPr>
              <w:spacing w:after="60" w:line="240" w:lineRule="auto"/>
              <w:jc w:val="right"/>
            </w:pPr>
            <w:r>
              <w:rPr>
                <w:color w:val="000000"/>
              </w:rPr>
              <w:t>2015</w:t>
            </w:r>
            <w:r w:rsidR="00B90CF7">
              <w:rPr>
                <w:color w:val="000000"/>
              </w:rPr>
              <w:br/>
              <w:t>$</w:t>
            </w:r>
          </w:p>
        </w:tc>
        <w:tc>
          <w:tcPr>
            <w:tcW w:w="2365" w:type="dxa"/>
          </w:tcPr>
          <w:p w:rsidR="00B90CF7" w:rsidRPr="00D40661" w:rsidRDefault="00985FF4" w:rsidP="00F2616A">
            <w:pPr>
              <w:spacing w:after="60" w:line="240" w:lineRule="auto"/>
              <w:jc w:val="right"/>
            </w:pPr>
            <w:r>
              <w:rPr>
                <w:color w:val="000000"/>
              </w:rPr>
              <w:t>2014</w:t>
            </w:r>
            <w:r w:rsidR="00B90CF7">
              <w:rPr>
                <w:color w:val="000000"/>
              </w:rPr>
              <w:br/>
              <w:t>$</w:t>
            </w:r>
          </w:p>
        </w:tc>
      </w:tr>
      <w:tr w:rsidR="00B90CF7" w:rsidRPr="00D40661" w:rsidTr="00F42C98">
        <w:trPr>
          <w:jc w:val="center"/>
        </w:trPr>
        <w:tc>
          <w:tcPr>
            <w:tcW w:w="5326" w:type="dxa"/>
          </w:tcPr>
          <w:p w:rsidR="00B90CF7" w:rsidRPr="00D40661" w:rsidRDefault="00B90CF7" w:rsidP="00362112">
            <w:pPr>
              <w:spacing w:after="60" w:line="240" w:lineRule="auto"/>
              <w:rPr>
                <w:color w:val="000000"/>
              </w:rPr>
            </w:pPr>
            <w:r w:rsidRPr="00D40661">
              <w:rPr>
                <w:color w:val="000000"/>
              </w:rPr>
              <w:t>Audit Services</w:t>
            </w:r>
          </w:p>
        </w:tc>
        <w:tc>
          <w:tcPr>
            <w:tcW w:w="1554" w:type="dxa"/>
            <w:tcBorders>
              <w:bottom w:val="single" w:sz="4" w:space="0" w:color="auto"/>
            </w:tcBorders>
          </w:tcPr>
          <w:p w:rsidR="00B90CF7" w:rsidRPr="00D40661" w:rsidRDefault="00306EB9" w:rsidP="003206AB">
            <w:pPr>
              <w:spacing w:after="60" w:line="240" w:lineRule="auto"/>
              <w:jc w:val="right"/>
              <w:rPr>
                <w:color w:val="000000"/>
              </w:rPr>
            </w:pPr>
            <w:r>
              <w:rPr>
                <w:color w:val="000000"/>
              </w:rPr>
              <w:t>(14,740)</w:t>
            </w:r>
          </w:p>
        </w:tc>
        <w:tc>
          <w:tcPr>
            <w:tcW w:w="2365" w:type="dxa"/>
            <w:tcBorders>
              <w:bottom w:val="single" w:sz="4" w:space="0" w:color="auto"/>
            </w:tcBorders>
          </w:tcPr>
          <w:p w:rsidR="00B90CF7" w:rsidRPr="00D40661" w:rsidRDefault="00B90CF7" w:rsidP="003206AB">
            <w:pPr>
              <w:spacing w:after="60" w:line="240" w:lineRule="auto"/>
              <w:jc w:val="right"/>
            </w:pPr>
            <w:r>
              <w:rPr>
                <w:color w:val="000000"/>
              </w:rPr>
              <w:t>(</w:t>
            </w:r>
            <w:r w:rsidRPr="00D40661">
              <w:rPr>
                <w:color w:val="000000"/>
              </w:rPr>
              <w:t>14,740</w:t>
            </w:r>
            <w:r>
              <w:rPr>
                <w:color w:val="000000"/>
              </w:rPr>
              <w:t>)</w:t>
            </w:r>
          </w:p>
        </w:tc>
      </w:tr>
      <w:tr w:rsidR="00B90CF7" w:rsidRPr="00D40661" w:rsidTr="00F42C98">
        <w:trPr>
          <w:jc w:val="center"/>
        </w:trPr>
        <w:tc>
          <w:tcPr>
            <w:tcW w:w="5326" w:type="dxa"/>
          </w:tcPr>
          <w:p w:rsidR="00B90CF7" w:rsidRPr="00D40661" w:rsidRDefault="00B90CF7" w:rsidP="00362112">
            <w:pPr>
              <w:spacing w:after="60" w:line="240" w:lineRule="auto"/>
            </w:pPr>
          </w:p>
        </w:tc>
        <w:tc>
          <w:tcPr>
            <w:tcW w:w="1554" w:type="dxa"/>
            <w:tcBorders>
              <w:top w:val="single" w:sz="4" w:space="0" w:color="auto"/>
              <w:bottom w:val="double" w:sz="4" w:space="0" w:color="auto"/>
            </w:tcBorders>
          </w:tcPr>
          <w:p w:rsidR="00B90CF7" w:rsidRPr="00D40661" w:rsidRDefault="00306EB9" w:rsidP="003206AB">
            <w:pPr>
              <w:spacing w:after="60" w:line="240" w:lineRule="auto"/>
              <w:jc w:val="right"/>
            </w:pPr>
            <w:r>
              <w:t>(14,740)</w:t>
            </w:r>
          </w:p>
        </w:tc>
        <w:tc>
          <w:tcPr>
            <w:tcW w:w="2365" w:type="dxa"/>
            <w:tcBorders>
              <w:top w:val="single" w:sz="4" w:space="0" w:color="auto"/>
              <w:bottom w:val="double" w:sz="4" w:space="0" w:color="auto"/>
            </w:tcBorders>
          </w:tcPr>
          <w:p w:rsidR="00B90CF7" w:rsidRPr="00D40661" w:rsidRDefault="00B90CF7" w:rsidP="003206AB">
            <w:pPr>
              <w:spacing w:after="60" w:line="240" w:lineRule="auto"/>
              <w:jc w:val="right"/>
            </w:pPr>
            <w:r>
              <w:rPr>
                <w:color w:val="000000"/>
              </w:rPr>
              <w:t>(</w:t>
            </w:r>
            <w:r w:rsidRPr="00D40661">
              <w:rPr>
                <w:color w:val="000000"/>
              </w:rPr>
              <w:t>14,740</w:t>
            </w:r>
            <w:r>
              <w:rPr>
                <w:color w:val="000000"/>
              </w:rPr>
              <w:t>)</w:t>
            </w:r>
          </w:p>
        </w:tc>
      </w:tr>
    </w:tbl>
    <w:p w:rsidR="00B90CF7" w:rsidRDefault="00B90CF7" w:rsidP="00B90CF7">
      <w:pPr>
        <w:spacing w:line="240" w:lineRule="auto"/>
      </w:pPr>
    </w:p>
    <w:tbl>
      <w:tblPr>
        <w:tblStyle w:val="TableGrid"/>
        <w:tblW w:w="9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ash and cash equivalents"/>
      </w:tblPr>
      <w:tblGrid>
        <w:gridCol w:w="5326"/>
        <w:gridCol w:w="1555"/>
        <w:gridCol w:w="2348"/>
      </w:tblGrid>
      <w:tr w:rsidR="00B90CF7" w:rsidRPr="00522D47" w:rsidTr="00F42C98">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rsidR="00B90CF7" w:rsidRPr="00522D47" w:rsidRDefault="00712378" w:rsidP="006D2D33">
            <w:pPr>
              <w:pStyle w:val="Heading2"/>
              <w:spacing w:before="0"/>
              <w:outlineLvl w:val="1"/>
            </w:pPr>
            <w:r w:rsidRPr="00522D47">
              <w:t>6.</w:t>
            </w:r>
            <w:r w:rsidR="000B4B10" w:rsidRPr="00522D47">
              <w:t xml:space="preserve"> </w:t>
            </w:r>
            <w:r w:rsidR="00B90CF7" w:rsidRPr="00522D47">
              <w:t>Cash and Cash Equivalents</w:t>
            </w:r>
          </w:p>
        </w:tc>
        <w:tc>
          <w:tcPr>
            <w:tcW w:w="1555" w:type="dxa"/>
          </w:tcPr>
          <w:p w:rsidR="00B90CF7" w:rsidRPr="00522D47" w:rsidRDefault="00985FF4" w:rsidP="00F2616A">
            <w:pPr>
              <w:spacing w:after="60" w:line="240" w:lineRule="auto"/>
              <w:jc w:val="right"/>
            </w:pPr>
            <w:r w:rsidRPr="00522D47">
              <w:rPr>
                <w:color w:val="000000"/>
              </w:rPr>
              <w:t>2015</w:t>
            </w:r>
            <w:r w:rsidR="00B90CF7" w:rsidRPr="00522D47">
              <w:rPr>
                <w:color w:val="000000"/>
              </w:rPr>
              <w:br/>
              <w:t>$</w:t>
            </w:r>
          </w:p>
        </w:tc>
        <w:tc>
          <w:tcPr>
            <w:tcW w:w="2348" w:type="dxa"/>
          </w:tcPr>
          <w:p w:rsidR="00B90CF7" w:rsidRPr="00522D47" w:rsidRDefault="00985FF4" w:rsidP="003206AB">
            <w:pPr>
              <w:spacing w:after="60" w:line="240" w:lineRule="auto"/>
              <w:jc w:val="right"/>
            </w:pPr>
            <w:r w:rsidRPr="00522D47">
              <w:rPr>
                <w:color w:val="000000"/>
              </w:rPr>
              <w:t>2014</w:t>
            </w:r>
            <w:r w:rsidR="00B90CF7" w:rsidRPr="00522D47">
              <w:rPr>
                <w:color w:val="000000"/>
              </w:rPr>
              <w:br/>
              <w:t>$</w:t>
            </w:r>
          </w:p>
        </w:tc>
      </w:tr>
      <w:tr w:rsidR="00F2616A" w:rsidRPr="00522D47" w:rsidTr="00F42C98">
        <w:trPr>
          <w:jc w:val="center"/>
        </w:trPr>
        <w:tc>
          <w:tcPr>
            <w:tcW w:w="5326" w:type="dxa"/>
          </w:tcPr>
          <w:p w:rsidR="00F2616A" w:rsidRPr="00522D47" w:rsidRDefault="00F2616A" w:rsidP="00362112">
            <w:pPr>
              <w:spacing w:after="60" w:line="240" w:lineRule="auto"/>
            </w:pPr>
            <w:r w:rsidRPr="00522D47">
              <w:rPr>
                <w:color w:val="000000"/>
              </w:rPr>
              <w:t>Cash on Hand</w:t>
            </w:r>
          </w:p>
        </w:tc>
        <w:tc>
          <w:tcPr>
            <w:tcW w:w="1555" w:type="dxa"/>
          </w:tcPr>
          <w:p w:rsidR="00F2616A" w:rsidRPr="00522D47" w:rsidRDefault="000A0F85" w:rsidP="003206AB">
            <w:pPr>
              <w:spacing w:after="60" w:line="240" w:lineRule="auto"/>
              <w:jc w:val="right"/>
            </w:pPr>
            <w:r w:rsidRPr="00522D47">
              <w:t>200</w:t>
            </w:r>
          </w:p>
        </w:tc>
        <w:tc>
          <w:tcPr>
            <w:tcW w:w="2348" w:type="dxa"/>
          </w:tcPr>
          <w:p w:rsidR="00F2616A" w:rsidRPr="00522D47" w:rsidRDefault="00F2616A" w:rsidP="00F2616A">
            <w:pPr>
              <w:spacing w:after="60" w:line="240" w:lineRule="auto"/>
              <w:jc w:val="right"/>
            </w:pPr>
            <w:r w:rsidRPr="00522D47">
              <w:rPr>
                <w:color w:val="000000"/>
              </w:rPr>
              <w:t>200</w:t>
            </w:r>
          </w:p>
        </w:tc>
      </w:tr>
      <w:tr w:rsidR="00CE367A" w:rsidRPr="00522D47" w:rsidTr="00F42C98">
        <w:trPr>
          <w:jc w:val="center"/>
        </w:trPr>
        <w:tc>
          <w:tcPr>
            <w:tcW w:w="5326" w:type="dxa"/>
          </w:tcPr>
          <w:p w:rsidR="00CE367A" w:rsidRPr="00522D47" w:rsidRDefault="00CE367A" w:rsidP="00362112">
            <w:pPr>
              <w:spacing w:after="60" w:line="240" w:lineRule="auto"/>
            </w:pPr>
            <w:r w:rsidRPr="00522D47">
              <w:rPr>
                <w:color w:val="000000"/>
              </w:rPr>
              <w:t>Cash at Bank</w:t>
            </w:r>
          </w:p>
        </w:tc>
        <w:tc>
          <w:tcPr>
            <w:tcW w:w="1555" w:type="dxa"/>
          </w:tcPr>
          <w:p w:rsidR="00CE367A" w:rsidRPr="00522D47" w:rsidRDefault="00827B85" w:rsidP="003206AB">
            <w:pPr>
              <w:spacing w:after="60" w:line="240" w:lineRule="auto"/>
              <w:jc w:val="right"/>
            </w:pPr>
            <w:r w:rsidRPr="00522D47">
              <w:t>1,046,963</w:t>
            </w:r>
          </w:p>
        </w:tc>
        <w:tc>
          <w:tcPr>
            <w:tcW w:w="2348" w:type="dxa"/>
          </w:tcPr>
          <w:p w:rsidR="00CE367A" w:rsidRPr="00522D47" w:rsidRDefault="00CE367A" w:rsidP="0033488A">
            <w:pPr>
              <w:spacing w:after="60" w:line="240" w:lineRule="auto"/>
              <w:jc w:val="right"/>
            </w:pPr>
            <w:r w:rsidRPr="00522D47">
              <w:t>2,024,598</w:t>
            </w:r>
          </w:p>
        </w:tc>
      </w:tr>
      <w:tr w:rsidR="00CE367A" w:rsidRPr="00522D47" w:rsidTr="00F42C98">
        <w:trPr>
          <w:jc w:val="center"/>
        </w:trPr>
        <w:tc>
          <w:tcPr>
            <w:tcW w:w="5326" w:type="dxa"/>
          </w:tcPr>
          <w:p w:rsidR="00CE367A" w:rsidRPr="00522D47" w:rsidRDefault="00CE367A" w:rsidP="00362112">
            <w:pPr>
              <w:spacing w:after="60" w:line="240" w:lineRule="auto"/>
            </w:pPr>
            <w:r w:rsidRPr="00522D47">
              <w:rPr>
                <w:color w:val="000000"/>
              </w:rPr>
              <w:t>Short-term Deposits</w:t>
            </w:r>
          </w:p>
        </w:tc>
        <w:tc>
          <w:tcPr>
            <w:tcW w:w="1555" w:type="dxa"/>
            <w:tcBorders>
              <w:bottom w:val="single" w:sz="4" w:space="0" w:color="auto"/>
            </w:tcBorders>
          </w:tcPr>
          <w:p w:rsidR="00CE367A" w:rsidRPr="00522D47" w:rsidRDefault="00827B85" w:rsidP="003206AB">
            <w:pPr>
              <w:spacing w:after="60" w:line="240" w:lineRule="auto"/>
              <w:jc w:val="right"/>
            </w:pPr>
            <w:r w:rsidRPr="00522D47">
              <w:t>29,461</w:t>
            </w:r>
          </w:p>
        </w:tc>
        <w:tc>
          <w:tcPr>
            <w:tcW w:w="2348" w:type="dxa"/>
            <w:tcBorders>
              <w:bottom w:val="single" w:sz="4" w:space="0" w:color="auto"/>
            </w:tcBorders>
          </w:tcPr>
          <w:p w:rsidR="00CE367A" w:rsidRPr="00522D47" w:rsidRDefault="00CE367A" w:rsidP="0033488A">
            <w:pPr>
              <w:spacing w:after="60" w:line="240" w:lineRule="auto"/>
              <w:jc w:val="right"/>
            </w:pPr>
            <w:r w:rsidRPr="00522D47">
              <w:t>28,442</w:t>
            </w:r>
          </w:p>
        </w:tc>
      </w:tr>
      <w:tr w:rsidR="00CE367A" w:rsidRPr="00D40661" w:rsidTr="00F42C98">
        <w:trPr>
          <w:jc w:val="center"/>
        </w:trPr>
        <w:tc>
          <w:tcPr>
            <w:tcW w:w="5326" w:type="dxa"/>
          </w:tcPr>
          <w:p w:rsidR="00CE367A" w:rsidRPr="00522D47" w:rsidRDefault="00CE367A" w:rsidP="00362112">
            <w:pPr>
              <w:spacing w:after="60" w:line="240" w:lineRule="auto"/>
            </w:pPr>
          </w:p>
        </w:tc>
        <w:tc>
          <w:tcPr>
            <w:tcW w:w="1555" w:type="dxa"/>
            <w:tcBorders>
              <w:top w:val="single" w:sz="4" w:space="0" w:color="auto"/>
              <w:bottom w:val="double" w:sz="4" w:space="0" w:color="auto"/>
            </w:tcBorders>
          </w:tcPr>
          <w:p w:rsidR="00CE367A" w:rsidRPr="00522D47" w:rsidRDefault="00827B85" w:rsidP="003206AB">
            <w:pPr>
              <w:spacing w:after="60" w:line="240" w:lineRule="auto"/>
              <w:jc w:val="right"/>
            </w:pPr>
            <w:r w:rsidRPr="00522D47">
              <w:t>1,076,624</w:t>
            </w:r>
          </w:p>
        </w:tc>
        <w:tc>
          <w:tcPr>
            <w:tcW w:w="2348" w:type="dxa"/>
            <w:tcBorders>
              <w:top w:val="single" w:sz="4" w:space="0" w:color="auto"/>
              <w:bottom w:val="double" w:sz="4" w:space="0" w:color="auto"/>
            </w:tcBorders>
          </w:tcPr>
          <w:p w:rsidR="00CE367A" w:rsidRPr="00522D47" w:rsidRDefault="00CE367A" w:rsidP="0033488A">
            <w:pPr>
              <w:spacing w:after="60" w:line="240" w:lineRule="auto"/>
              <w:jc w:val="right"/>
            </w:pPr>
            <w:r w:rsidRPr="00522D47">
              <w:t>2,053,240</w:t>
            </w:r>
          </w:p>
        </w:tc>
      </w:tr>
    </w:tbl>
    <w:p w:rsidR="00D2400B" w:rsidRPr="00F24634" w:rsidRDefault="00D2400B" w:rsidP="00F42C98">
      <w:pPr>
        <w:widowControl w:val="0"/>
        <w:autoSpaceDE w:val="0"/>
        <w:autoSpaceDN w:val="0"/>
        <w:adjustRightInd w:val="0"/>
        <w:spacing w:after="100" w:afterAutospacing="1" w:line="240" w:lineRule="exact"/>
        <w:rPr>
          <w:rFonts w:ascii="Times New Roman" w:hAnsi="Times New Roman"/>
          <w:i/>
          <w:iCs/>
          <w:color w:val="000000"/>
          <w:sz w:val="16"/>
          <w:szCs w:val="16"/>
        </w:rPr>
      </w:pPr>
    </w:p>
    <w:p w:rsidR="00D2400B" w:rsidRDefault="00D2400B" w:rsidP="00712543">
      <w:pPr>
        <w:widowControl w:val="0"/>
        <w:autoSpaceDE w:val="0"/>
        <w:autoSpaceDN w:val="0"/>
        <w:adjustRightInd w:val="0"/>
        <w:spacing w:before="720" w:after="0" w:line="240" w:lineRule="auto"/>
        <w:ind w:left="1728" w:right="1176"/>
        <w:jc w:val="center"/>
        <w:rPr>
          <w:rFonts w:cstheme="minorHAnsi"/>
          <w:color w:val="000000"/>
        </w:rPr>
      </w:pPr>
      <w:r w:rsidRPr="00105329">
        <w:rPr>
          <w:rFonts w:cstheme="minorHAnsi"/>
          <w:i/>
          <w:iCs/>
          <w:color w:val="000000"/>
          <w:szCs w:val="16"/>
        </w:rPr>
        <w:t>These notes form part of the financial statements</w:t>
      </w:r>
    </w:p>
    <w:p w:rsidR="00685106" w:rsidRPr="00E171F7" w:rsidRDefault="00685106" w:rsidP="000C5471">
      <w:pPr>
        <w:rPr>
          <w:sz w:val="48"/>
        </w:rPr>
      </w:pPr>
      <w:r w:rsidRPr="00E171F7">
        <w:rPr>
          <w:sz w:val="48"/>
        </w:rPr>
        <w:lastRenderedPageBreak/>
        <w:t>Notes to the Financial Statements</w:t>
      </w:r>
    </w:p>
    <w:p w:rsidR="00685106" w:rsidRPr="00E171F7" w:rsidRDefault="00C20090" w:rsidP="000C5471">
      <w:pPr>
        <w:rPr>
          <w:b/>
          <w:sz w:val="24"/>
          <w:szCs w:val="24"/>
        </w:rPr>
      </w:pPr>
      <w:r>
        <w:rPr>
          <w:b/>
        </w:rPr>
        <w:t xml:space="preserve">For the Year ended 30 June </w:t>
      </w:r>
      <w:r w:rsidR="00985FF4">
        <w:rPr>
          <w:b/>
        </w:rPr>
        <w:t>2015</w:t>
      </w:r>
    </w:p>
    <w:tbl>
      <w:tblPr>
        <w:tblStyle w:val="TableGrid"/>
        <w:tblW w:w="9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rade and other receivables"/>
      </w:tblPr>
      <w:tblGrid>
        <w:gridCol w:w="5326"/>
        <w:gridCol w:w="1588"/>
        <w:gridCol w:w="2318"/>
      </w:tblGrid>
      <w:tr w:rsidR="00362112" w:rsidRPr="00522D47" w:rsidTr="00F42C98">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rsidR="00362112" w:rsidRPr="00522D47" w:rsidRDefault="00CB5652" w:rsidP="006D2D33">
            <w:pPr>
              <w:pStyle w:val="Heading2"/>
              <w:spacing w:before="0"/>
              <w:outlineLvl w:val="1"/>
              <w:rPr>
                <w:sz w:val="24"/>
                <w:szCs w:val="24"/>
              </w:rPr>
            </w:pPr>
            <w:r w:rsidRPr="00522D47">
              <w:t>7.</w:t>
            </w:r>
            <w:r w:rsidR="000B4B10" w:rsidRPr="00522D47">
              <w:t xml:space="preserve"> </w:t>
            </w:r>
            <w:r w:rsidR="00362112" w:rsidRPr="00522D47">
              <w:t>Trade and Other Receivables</w:t>
            </w:r>
          </w:p>
        </w:tc>
        <w:tc>
          <w:tcPr>
            <w:tcW w:w="1588" w:type="dxa"/>
          </w:tcPr>
          <w:p w:rsidR="00362112" w:rsidRPr="00522D47" w:rsidRDefault="00985FF4" w:rsidP="00C20090">
            <w:pPr>
              <w:spacing w:after="60" w:line="240" w:lineRule="auto"/>
              <w:ind w:left="240"/>
              <w:jc w:val="right"/>
              <w:rPr>
                <w:rFonts w:cstheme="minorHAnsi"/>
              </w:rPr>
            </w:pPr>
            <w:r w:rsidRPr="00522D47">
              <w:rPr>
                <w:rFonts w:cstheme="minorHAnsi"/>
                <w:color w:val="000000"/>
              </w:rPr>
              <w:t>2015</w:t>
            </w:r>
            <w:r w:rsidR="00362112" w:rsidRPr="00522D47">
              <w:rPr>
                <w:rFonts w:cstheme="minorHAnsi"/>
                <w:color w:val="000000"/>
              </w:rPr>
              <w:br/>
              <w:t>$</w:t>
            </w:r>
          </w:p>
        </w:tc>
        <w:tc>
          <w:tcPr>
            <w:tcW w:w="2318" w:type="dxa"/>
          </w:tcPr>
          <w:p w:rsidR="00362112" w:rsidRPr="00522D47" w:rsidRDefault="00985FF4" w:rsidP="00C20090">
            <w:pPr>
              <w:spacing w:after="60" w:line="240" w:lineRule="auto"/>
              <w:ind w:left="240"/>
              <w:jc w:val="right"/>
              <w:rPr>
                <w:rFonts w:cstheme="minorHAnsi"/>
              </w:rPr>
            </w:pPr>
            <w:r w:rsidRPr="00522D47">
              <w:rPr>
                <w:rFonts w:cstheme="minorHAnsi"/>
                <w:color w:val="000000"/>
              </w:rPr>
              <w:t>2014</w:t>
            </w:r>
            <w:r w:rsidR="00362112" w:rsidRPr="00522D47">
              <w:rPr>
                <w:rFonts w:cstheme="minorHAnsi"/>
                <w:color w:val="000000"/>
              </w:rPr>
              <w:br/>
              <w:t>$</w:t>
            </w:r>
          </w:p>
        </w:tc>
      </w:tr>
      <w:tr w:rsidR="007E4389" w:rsidRPr="00522D47" w:rsidTr="00F42C98">
        <w:trPr>
          <w:jc w:val="center"/>
        </w:trPr>
        <w:tc>
          <w:tcPr>
            <w:tcW w:w="5326" w:type="dxa"/>
          </w:tcPr>
          <w:p w:rsidR="007E4389" w:rsidRPr="00522D47" w:rsidRDefault="007E4389" w:rsidP="006D2D33">
            <w:pPr>
              <w:widowControl w:val="0"/>
              <w:autoSpaceDE w:val="0"/>
              <w:autoSpaceDN w:val="0"/>
              <w:adjustRightInd w:val="0"/>
              <w:spacing w:before="100" w:beforeAutospacing="1" w:after="60"/>
              <w:ind w:left="776" w:hanging="776"/>
              <w:rPr>
                <w:rFonts w:cstheme="minorHAnsi"/>
                <w:b/>
                <w:color w:val="000000"/>
              </w:rPr>
            </w:pPr>
            <w:r w:rsidRPr="00522D47">
              <w:rPr>
                <w:rFonts w:cstheme="minorHAnsi"/>
                <w:b/>
                <w:color w:val="000000"/>
              </w:rPr>
              <w:t>Current</w:t>
            </w:r>
          </w:p>
        </w:tc>
        <w:tc>
          <w:tcPr>
            <w:tcW w:w="1588" w:type="dxa"/>
          </w:tcPr>
          <w:p w:rsidR="007E4389" w:rsidRPr="00522D47" w:rsidRDefault="007E4389" w:rsidP="00F42C98">
            <w:pPr>
              <w:widowControl w:val="0"/>
              <w:autoSpaceDE w:val="0"/>
              <w:autoSpaceDN w:val="0"/>
              <w:adjustRightInd w:val="0"/>
              <w:spacing w:before="100" w:beforeAutospacing="1" w:after="60"/>
              <w:ind w:left="240"/>
              <w:jc w:val="right"/>
              <w:rPr>
                <w:rFonts w:cstheme="minorHAnsi"/>
                <w:color w:val="000000"/>
              </w:rPr>
            </w:pPr>
          </w:p>
        </w:tc>
        <w:tc>
          <w:tcPr>
            <w:tcW w:w="2318" w:type="dxa"/>
          </w:tcPr>
          <w:p w:rsidR="007E4389" w:rsidRPr="00522D47" w:rsidRDefault="007E4389" w:rsidP="00182357">
            <w:pPr>
              <w:widowControl w:val="0"/>
              <w:autoSpaceDE w:val="0"/>
              <w:autoSpaceDN w:val="0"/>
              <w:adjustRightInd w:val="0"/>
              <w:spacing w:before="100" w:beforeAutospacing="1" w:after="60"/>
              <w:ind w:left="240"/>
              <w:jc w:val="right"/>
              <w:rPr>
                <w:rFonts w:cstheme="minorHAnsi"/>
                <w:color w:val="000000"/>
              </w:rPr>
            </w:pPr>
          </w:p>
        </w:tc>
      </w:tr>
      <w:tr w:rsidR="00CE367A" w:rsidRPr="00522D47" w:rsidTr="00F42C98">
        <w:trPr>
          <w:jc w:val="center"/>
        </w:trPr>
        <w:tc>
          <w:tcPr>
            <w:tcW w:w="5326" w:type="dxa"/>
          </w:tcPr>
          <w:p w:rsidR="00CE367A" w:rsidRPr="00522D47" w:rsidRDefault="00CE367A" w:rsidP="00832B35">
            <w:pPr>
              <w:widowControl w:val="0"/>
              <w:autoSpaceDE w:val="0"/>
              <w:autoSpaceDN w:val="0"/>
              <w:adjustRightInd w:val="0"/>
              <w:spacing w:before="100" w:beforeAutospacing="1" w:after="60"/>
              <w:ind w:left="776" w:hanging="776"/>
              <w:rPr>
                <w:rFonts w:cstheme="minorHAnsi"/>
              </w:rPr>
            </w:pPr>
            <w:r w:rsidRPr="00522D47">
              <w:rPr>
                <w:rFonts w:cstheme="minorHAnsi"/>
                <w:color w:val="000000"/>
              </w:rPr>
              <w:t>Trade and other receivables</w:t>
            </w:r>
          </w:p>
        </w:tc>
        <w:tc>
          <w:tcPr>
            <w:tcW w:w="1588" w:type="dxa"/>
            <w:tcBorders>
              <w:bottom w:val="single" w:sz="4" w:space="0" w:color="auto"/>
            </w:tcBorders>
          </w:tcPr>
          <w:p w:rsidR="00CE367A" w:rsidRPr="00522D47" w:rsidRDefault="00CE367A" w:rsidP="006420C8">
            <w:pPr>
              <w:widowControl w:val="0"/>
              <w:autoSpaceDE w:val="0"/>
              <w:autoSpaceDN w:val="0"/>
              <w:adjustRightInd w:val="0"/>
              <w:spacing w:before="100" w:beforeAutospacing="1" w:after="60"/>
              <w:ind w:left="240"/>
              <w:jc w:val="right"/>
              <w:rPr>
                <w:rFonts w:cstheme="minorHAnsi"/>
              </w:rPr>
            </w:pPr>
            <w:r w:rsidRPr="00522D47">
              <w:rPr>
                <w:rFonts w:cstheme="minorHAnsi"/>
              </w:rPr>
              <w:t>1</w:t>
            </w:r>
            <w:r w:rsidR="006420C8" w:rsidRPr="00522D47">
              <w:rPr>
                <w:rFonts w:cstheme="minorHAnsi"/>
              </w:rPr>
              <w:t>5</w:t>
            </w:r>
            <w:r w:rsidRPr="00522D47">
              <w:rPr>
                <w:rFonts w:cstheme="minorHAnsi"/>
              </w:rPr>
              <w:t>6,</w:t>
            </w:r>
            <w:r w:rsidR="006420C8" w:rsidRPr="00522D47">
              <w:rPr>
                <w:rFonts w:cstheme="minorHAnsi"/>
              </w:rPr>
              <w:t>658</w:t>
            </w:r>
          </w:p>
        </w:tc>
        <w:tc>
          <w:tcPr>
            <w:tcW w:w="2318" w:type="dxa"/>
            <w:tcBorders>
              <w:bottom w:val="single" w:sz="4" w:space="0" w:color="auto"/>
            </w:tcBorders>
          </w:tcPr>
          <w:p w:rsidR="00CE367A" w:rsidRPr="00522D47" w:rsidRDefault="00CE367A" w:rsidP="0033488A">
            <w:pPr>
              <w:widowControl w:val="0"/>
              <w:autoSpaceDE w:val="0"/>
              <w:autoSpaceDN w:val="0"/>
              <w:adjustRightInd w:val="0"/>
              <w:spacing w:before="100" w:beforeAutospacing="1" w:after="60"/>
              <w:ind w:left="240"/>
              <w:jc w:val="right"/>
              <w:rPr>
                <w:rFonts w:cstheme="minorHAnsi"/>
              </w:rPr>
            </w:pPr>
            <w:r w:rsidRPr="00522D47">
              <w:rPr>
                <w:rFonts w:cstheme="minorHAnsi"/>
              </w:rPr>
              <w:t>176,314</w:t>
            </w:r>
          </w:p>
        </w:tc>
      </w:tr>
      <w:tr w:rsidR="00CE367A" w:rsidRPr="00362112" w:rsidTr="00F42C98">
        <w:trPr>
          <w:jc w:val="center"/>
        </w:trPr>
        <w:tc>
          <w:tcPr>
            <w:tcW w:w="5326" w:type="dxa"/>
          </w:tcPr>
          <w:p w:rsidR="00CE367A" w:rsidRPr="00522D47" w:rsidRDefault="00CE367A" w:rsidP="00CB5652">
            <w:pPr>
              <w:widowControl w:val="0"/>
              <w:autoSpaceDE w:val="0"/>
              <w:autoSpaceDN w:val="0"/>
              <w:adjustRightInd w:val="0"/>
              <w:spacing w:before="100" w:beforeAutospacing="1" w:after="60" w:line="240" w:lineRule="exact"/>
              <w:rPr>
                <w:rFonts w:cstheme="minorHAnsi"/>
              </w:rPr>
            </w:pPr>
            <w:r w:rsidRPr="00522D47">
              <w:rPr>
                <w:rFonts w:cstheme="minorHAnsi"/>
                <w:b/>
                <w:bCs/>
                <w:color w:val="000000"/>
              </w:rPr>
              <w:t>Total Trade and Other Receivables</w:t>
            </w:r>
          </w:p>
        </w:tc>
        <w:tc>
          <w:tcPr>
            <w:tcW w:w="1588" w:type="dxa"/>
            <w:tcBorders>
              <w:top w:val="single" w:sz="4" w:space="0" w:color="auto"/>
              <w:bottom w:val="double" w:sz="4" w:space="0" w:color="auto"/>
            </w:tcBorders>
          </w:tcPr>
          <w:p w:rsidR="00CE367A" w:rsidRPr="00522D47" w:rsidRDefault="006420C8" w:rsidP="00832B35">
            <w:pPr>
              <w:widowControl w:val="0"/>
              <w:autoSpaceDE w:val="0"/>
              <w:autoSpaceDN w:val="0"/>
              <w:adjustRightInd w:val="0"/>
              <w:spacing w:after="60" w:line="240" w:lineRule="exact"/>
              <w:ind w:left="240"/>
              <w:jc w:val="right"/>
              <w:rPr>
                <w:rFonts w:cstheme="minorHAnsi"/>
              </w:rPr>
            </w:pPr>
            <w:r w:rsidRPr="00522D47">
              <w:rPr>
                <w:rFonts w:cstheme="minorHAnsi"/>
              </w:rPr>
              <w:t>156,658</w:t>
            </w:r>
          </w:p>
        </w:tc>
        <w:tc>
          <w:tcPr>
            <w:tcW w:w="2318" w:type="dxa"/>
            <w:tcBorders>
              <w:top w:val="single" w:sz="4" w:space="0" w:color="auto"/>
              <w:bottom w:val="double" w:sz="4" w:space="0" w:color="auto"/>
            </w:tcBorders>
          </w:tcPr>
          <w:p w:rsidR="00CE367A" w:rsidRPr="00522D47" w:rsidRDefault="00CE367A" w:rsidP="0033488A">
            <w:pPr>
              <w:widowControl w:val="0"/>
              <w:autoSpaceDE w:val="0"/>
              <w:autoSpaceDN w:val="0"/>
              <w:adjustRightInd w:val="0"/>
              <w:spacing w:after="60" w:line="240" w:lineRule="exact"/>
              <w:ind w:left="240"/>
              <w:jc w:val="right"/>
              <w:rPr>
                <w:rFonts w:cstheme="minorHAnsi"/>
              </w:rPr>
            </w:pPr>
            <w:r w:rsidRPr="00522D47">
              <w:rPr>
                <w:rFonts w:cstheme="minorHAnsi"/>
              </w:rPr>
              <w:t>176,314</w:t>
            </w:r>
          </w:p>
        </w:tc>
      </w:tr>
    </w:tbl>
    <w:p w:rsidR="00D2400B" w:rsidRPr="00662339" w:rsidRDefault="00D2400B" w:rsidP="00A32AC0">
      <w:pPr>
        <w:widowControl w:val="0"/>
        <w:tabs>
          <w:tab w:val="right" w:pos="8461"/>
          <w:tab w:val="right" w:pos="10007"/>
        </w:tabs>
        <w:autoSpaceDE w:val="0"/>
        <w:autoSpaceDN w:val="0"/>
        <w:adjustRightInd w:val="0"/>
        <w:spacing w:before="38" w:after="0" w:line="240" w:lineRule="auto"/>
        <w:rPr>
          <w:rFonts w:ascii="Times New Roman" w:hAnsi="Times New Roman"/>
        </w:rPr>
      </w:pPr>
    </w:p>
    <w:p w:rsidR="00D2400B" w:rsidRPr="00362112" w:rsidRDefault="00D2400B" w:rsidP="00A32AC0">
      <w:pPr>
        <w:ind w:right="348"/>
        <w:rPr>
          <w:b/>
        </w:rPr>
      </w:pPr>
      <w:r w:rsidRPr="00362112">
        <w:rPr>
          <w:b/>
        </w:rPr>
        <w:t>Credit Risk – Trade and Other Receivables</w:t>
      </w:r>
    </w:p>
    <w:p w:rsidR="00D2400B" w:rsidRDefault="00D2400B" w:rsidP="00A32AC0">
      <w:pPr>
        <w:ind w:right="348"/>
      </w:pPr>
      <w:r w:rsidRPr="00662339">
        <w:t>The company does not have any material credit risk exposure to any single receivable or group of receivables</w:t>
      </w:r>
      <w:r w:rsidR="00F4624F">
        <w:t>.</w:t>
      </w:r>
    </w:p>
    <w:p w:rsidR="00F4624F" w:rsidRDefault="00F4624F" w:rsidP="00A32AC0">
      <w:pPr>
        <w:ind w:right="348"/>
      </w:pPr>
    </w:p>
    <w:tbl>
      <w:tblPr>
        <w:tblStyle w:val="TableGrid"/>
        <w:tblW w:w="9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rade and other receivables"/>
      </w:tblPr>
      <w:tblGrid>
        <w:gridCol w:w="5326"/>
        <w:gridCol w:w="1588"/>
        <w:gridCol w:w="2318"/>
      </w:tblGrid>
      <w:tr w:rsidR="000F252A" w:rsidRPr="00362112" w:rsidTr="00134384">
        <w:trPr>
          <w:cnfStyle w:val="100000000000" w:firstRow="1" w:lastRow="0" w:firstColumn="0" w:lastColumn="0" w:oddVBand="0" w:evenVBand="0" w:oddHBand="0" w:evenHBand="0" w:firstRowFirstColumn="0" w:firstRowLastColumn="0" w:lastRowFirstColumn="0" w:lastRowLastColumn="0"/>
          <w:tblHeader/>
          <w:jc w:val="center"/>
        </w:trPr>
        <w:tc>
          <w:tcPr>
            <w:tcW w:w="5326" w:type="dxa"/>
          </w:tcPr>
          <w:p w:rsidR="000F252A" w:rsidRPr="00522D47" w:rsidRDefault="000F252A" w:rsidP="000F252A">
            <w:pPr>
              <w:pStyle w:val="Heading2"/>
              <w:spacing w:before="0"/>
              <w:outlineLvl w:val="1"/>
              <w:rPr>
                <w:sz w:val="24"/>
                <w:szCs w:val="24"/>
              </w:rPr>
            </w:pPr>
            <w:r w:rsidRPr="00522D47">
              <w:t>8.</w:t>
            </w:r>
            <w:r w:rsidR="000B4B10" w:rsidRPr="00522D47">
              <w:t xml:space="preserve"> </w:t>
            </w:r>
            <w:r w:rsidRPr="00522D47">
              <w:t>Financial Assets</w:t>
            </w:r>
          </w:p>
        </w:tc>
        <w:tc>
          <w:tcPr>
            <w:tcW w:w="1588" w:type="dxa"/>
          </w:tcPr>
          <w:p w:rsidR="000F252A" w:rsidRPr="00522D47" w:rsidRDefault="00985FF4" w:rsidP="00C20090">
            <w:pPr>
              <w:spacing w:after="60" w:line="240" w:lineRule="auto"/>
              <w:ind w:left="240"/>
              <w:jc w:val="right"/>
              <w:rPr>
                <w:rFonts w:cstheme="minorHAnsi"/>
              </w:rPr>
            </w:pPr>
            <w:r w:rsidRPr="00522D47">
              <w:rPr>
                <w:rFonts w:cstheme="minorHAnsi"/>
                <w:color w:val="000000"/>
              </w:rPr>
              <w:t>2015</w:t>
            </w:r>
            <w:r w:rsidR="000F252A" w:rsidRPr="00522D47">
              <w:rPr>
                <w:rFonts w:cstheme="minorHAnsi"/>
                <w:color w:val="000000"/>
              </w:rPr>
              <w:br/>
              <w:t>$</w:t>
            </w:r>
          </w:p>
        </w:tc>
        <w:tc>
          <w:tcPr>
            <w:tcW w:w="2318" w:type="dxa"/>
          </w:tcPr>
          <w:p w:rsidR="000F252A" w:rsidRPr="00522D47" w:rsidRDefault="00985FF4" w:rsidP="00C20090">
            <w:pPr>
              <w:spacing w:after="60" w:line="240" w:lineRule="auto"/>
              <w:ind w:left="240"/>
              <w:jc w:val="right"/>
              <w:rPr>
                <w:rFonts w:cstheme="minorHAnsi"/>
              </w:rPr>
            </w:pPr>
            <w:r w:rsidRPr="00522D47">
              <w:rPr>
                <w:rFonts w:cstheme="minorHAnsi"/>
                <w:color w:val="000000"/>
              </w:rPr>
              <w:t>2014</w:t>
            </w:r>
            <w:r w:rsidR="000F252A" w:rsidRPr="00522D47">
              <w:rPr>
                <w:rFonts w:cstheme="minorHAnsi"/>
                <w:color w:val="000000"/>
              </w:rPr>
              <w:br/>
              <w:t>$</w:t>
            </w:r>
          </w:p>
        </w:tc>
      </w:tr>
      <w:tr w:rsidR="000F252A" w:rsidRPr="00362112" w:rsidTr="00134384">
        <w:trPr>
          <w:jc w:val="center"/>
        </w:trPr>
        <w:tc>
          <w:tcPr>
            <w:tcW w:w="5326" w:type="dxa"/>
          </w:tcPr>
          <w:p w:rsidR="000F252A" w:rsidRPr="00522D47" w:rsidRDefault="000F252A" w:rsidP="00134384">
            <w:pPr>
              <w:widowControl w:val="0"/>
              <w:autoSpaceDE w:val="0"/>
              <w:autoSpaceDN w:val="0"/>
              <w:adjustRightInd w:val="0"/>
              <w:spacing w:before="100" w:beforeAutospacing="1" w:after="60"/>
              <w:ind w:left="776" w:hanging="776"/>
              <w:rPr>
                <w:rFonts w:cstheme="minorHAnsi"/>
                <w:b/>
                <w:color w:val="000000"/>
              </w:rPr>
            </w:pPr>
            <w:r w:rsidRPr="00522D47">
              <w:rPr>
                <w:rFonts w:cstheme="minorHAnsi"/>
                <w:b/>
                <w:color w:val="000000"/>
              </w:rPr>
              <w:t>Current</w:t>
            </w:r>
          </w:p>
        </w:tc>
        <w:tc>
          <w:tcPr>
            <w:tcW w:w="1588" w:type="dxa"/>
          </w:tcPr>
          <w:p w:rsidR="000F252A" w:rsidRPr="00522D47" w:rsidRDefault="000F252A" w:rsidP="00134384">
            <w:pPr>
              <w:widowControl w:val="0"/>
              <w:autoSpaceDE w:val="0"/>
              <w:autoSpaceDN w:val="0"/>
              <w:adjustRightInd w:val="0"/>
              <w:spacing w:before="100" w:beforeAutospacing="1" w:after="60"/>
              <w:ind w:left="240"/>
              <w:jc w:val="right"/>
              <w:rPr>
                <w:rFonts w:cstheme="minorHAnsi"/>
                <w:color w:val="000000"/>
              </w:rPr>
            </w:pPr>
          </w:p>
        </w:tc>
        <w:tc>
          <w:tcPr>
            <w:tcW w:w="2318" w:type="dxa"/>
          </w:tcPr>
          <w:p w:rsidR="000F252A" w:rsidRPr="00522D47" w:rsidRDefault="000F252A" w:rsidP="00134384">
            <w:pPr>
              <w:widowControl w:val="0"/>
              <w:autoSpaceDE w:val="0"/>
              <w:autoSpaceDN w:val="0"/>
              <w:adjustRightInd w:val="0"/>
              <w:spacing w:before="100" w:beforeAutospacing="1" w:after="60"/>
              <w:ind w:left="240"/>
              <w:jc w:val="right"/>
              <w:rPr>
                <w:rFonts w:cstheme="minorHAnsi"/>
                <w:color w:val="000000"/>
              </w:rPr>
            </w:pPr>
          </w:p>
        </w:tc>
      </w:tr>
      <w:tr w:rsidR="00CE367A" w:rsidRPr="00362112" w:rsidTr="00134384">
        <w:trPr>
          <w:jc w:val="center"/>
        </w:trPr>
        <w:tc>
          <w:tcPr>
            <w:tcW w:w="5326" w:type="dxa"/>
          </w:tcPr>
          <w:p w:rsidR="00CE367A" w:rsidRPr="00522D47" w:rsidRDefault="00CE367A" w:rsidP="000F252A">
            <w:pPr>
              <w:widowControl w:val="0"/>
              <w:autoSpaceDE w:val="0"/>
              <w:autoSpaceDN w:val="0"/>
              <w:adjustRightInd w:val="0"/>
              <w:spacing w:before="100" w:beforeAutospacing="1" w:after="60"/>
              <w:ind w:left="776" w:hanging="776"/>
              <w:rPr>
                <w:rFonts w:cstheme="minorHAnsi"/>
              </w:rPr>
            </w:pPr>
            <w:r w:rsidRPr="00522D47">
              <w:rPr>
                <w:rFonts w:cstheme="minorHAnsi"/>
                <w:color w:val="000000"/>
              </w:rPr>
              <w:t>Financial assets at fair value through profit or loss</w:t>
            </w:r>
          </w:p>
        </w:tc>
        <w:tc>
          <w:tcPr>
            <w:tcW w:w="1588" w:type="dxa"/>
            <w:tcBorders>
              <w:bottom w:val="single" w:sz="4" w:space="0" w:color="auto"/>
            </w:tcBorders>
          </w:tcPr>
          <w:p w:rsidR="00CE367A" w:rsidRPr="00522D47" w:rsidRDefault="00CE367A" w:rsidP="00B92029">
            <w:pPr>
              <w:widowControl w:val="0"/>
              <w:autoSpaceDE w:val="0"/>
              <w:autoSpaceDN w:val="0"/>
              <w:adjustRightInd w:val="0"/>
              <w:spacing w:before="100" w:beforeAutospacing="1" w:after="60"/>
              <w:ind w:left="240"/>
              <w:jc w:val="right"/>
              <w:rPr>
                <w:rFonts w:cstheme="minorHAnsi"/>
              </w:rPr>
            </w:pPr>
            <w:r w:rsidRPr="00522D47">
              <w:rPr>
                <w:rFonts w:cstheme="minorHAnsi"/>
              </w:rPr>
              <w:t>4,</w:t>
            </w:r>
            <w:r w:rsidR="006420C8" w:rsidRPr="00522D47">
              <w:rPr>
                <w:rFonts w:cstheme="minorHAnsi"/>
              </w:rPr>
              <w:t>618,7</w:t>
            </w:r>
            <w:r w:rsidR="00B92029" w:rsidRPr="00522D47">
              <w:rPr>
                <w:rFonts w:cstheme="minorHAnsi"/>
              </w:rPr>
              <w:t>90</w:t>
            </w:r>
          </w:p>
        </w:tc>
        <w:tc>
          <w:tcPr>
            <w:tcW w:w="2318" w:type="dxa"/>
            <w:tcBorders>
              <w:bottom w:val="single" w:sz="4" w:space="0" w:color="auto"/>
            </w:tcBorders>
          </w:tcPr>
          <w:p w:rsidR="00CE367A" w:rsidRPr="00522D47" w:rsidRDefault="00CE367A" w:rsidP="0033488A">
            <w:pPr>
              <w:widowControl w:val="0"/>
              <w:autoSpaceDE w:val="0"/>
              <w:autoSpaceDN w:val="0"/>
              <w:adjustRightInd w:val="0"/>
              <w:spacing w:before="100" w:beforeAutospacing="1" w:after="60"/>
              <w:ind w:left="240"/>
              <w:jc w:val="right"/>
              <w:rPr>
                <w:rFonts w:cstheme="minorHAnsi"/>
              </w:rPr>
            </w:pPr>
            <w:r w:rsidRPr="00522D47">
              <w:rPr>
                <w:rFonts w:cstheme="minorHAnsi"/>
              </w:rPr>
              <w:t>4,892,192</w:t>
            </w:r>
          </w:p>
        </w:tc>
      </w:tr>
      <w:tr w:rsidR="00CE367A" w:rsidRPr="00362112" w:rsidTr="00134384">
        <w:trPr>
          <w:jc w:val="center"/>
        </w:trPr>
        <w:tc>
          <w:tcPr>
            <w:tcW w:w="5326" w:type="dxa"/>
          </w:tcPr>
          <w:p w:rsidR="00CE367A" w:rsidRPr="00522D47" w:rsidRDefault="00CE367A" w:rsidP="000F252A">
            <w:pPr>
              <w:widowControl w:val="0"/>
              <w:autoSpaceDE w:val="0"/>
              <w:autoSpaceDN w:val="0"/>
              <w:adjustRightInd w:val="0"/>
              <w:spacing w:before="100" w:beforeAutospacing="1" w:after="60" w:line="240" w:lineRule="exact"/>
              <w:rPr>
                <w:rFonts w:cstheme="minorHAnsi"/>
              </w:rPr>
            </w:pPr>
            <w:r w:rsidRPr="00522D47">
              <w:rPr>
                <w:rFonts w:cstheme="minorHAnsi"/>
                <w:b/>
                <w:bCs/>
                <w:color w:val="000000"/>
              </w:rPr>
              <w:t>Total Financial Assets</w:t>
            </w:r>
          </w:p>
        </w:tc>
        <w:tc>
          <w:tcPr>
            <w:tcW w:w="1588" w:type="dxa"/>
            <w:tcBorders>
              <w:top w:val="single" w:sz="4" w:space="0" w:color="auto"/>
              <w:bottom w:val="double" w:sz="4" w:space="0" w:color="auto"/>
            </w:tcBorders>
          </w:tcPr>
          <w:p w:rsidR="00CE367A" w:rsidRPr="00522D47" w:rsidRDefault="006420C8" w:rsidP="00B92029">
            <w:pPr>
              <w:widowControl w:val="0"/>
              <w:autoSpaceDE w:val="0"/>
              <w:autoSpaceDN w:val="0"/>
              <w:adjustRightInd w:val="0"/>
              <w:spacing w:after="60" w:line="240" w:lineRule="exact"/>
              <w:ind w:left="240"/>
              <w:jc w:val="right"/>
              <w:rPr>
                <w:rFonts w:cstheme="minorHAnsi"/>
              </w:rPr>
            </w:pPr>
            <w:r w:rsidRPr="00522D47">
              <w:rPr>
                <w:rFonts w:cstheme="minorHAnsi"/>
              </w:rPr>
              <w:t>4,618,7</w:t>
            </w:r>
            <w:r w:rsidR="00B92029" w:rsidRPr="00522D47">
              <w:rPr>
                <w:rFonts w:cstheme="minorHAnsi"/>
              </w:rPr>
              <w:t>90</w:t>
            </w:r>
          </w:p>
        </w:tc>
        <w:tc>
          <w:tcPr>
            <w:tcW w:w="2318" w:type="dxa"/>
            <w:tcBorders>
              <w:top w:val="single" w:sz="4" w:space="0" w:color="auto"/>
              <w:bottom w:val="double" w:sz="4" w:space="0" w:color="auto"/>
            </w:tcBorders>
          </w:tcPr>
          <w:p w:rsidR="00CE367A" w:rsidRPr="00522D47" w:rsidRDefault="00CE367A" w:rsidP="0033488A">
            <w:pPr>
              <w:widowControl w:val="0"/>
              <w:autoSpaceDE w:val="0"/>
              <w:autoSpaceDN w:val="0"/>
              <w:adjustRightInd w:val="0"/>
              <w:spacing w:after="60" w:line="240" w:lineRule="exact"/>
              <w:ind w:left="240"/>
              <w:jc w:val="right"/>
              <w:rPr>
                <w:rFonts w:cstheme="minorHAnsi"/>
              </w:rPr>
            </w:pPr>
            <w:r w:rsidRPr="00522D47">
              <w:rPr>
                <w:rFonts w:cstheme="minorHAnsi"/>
              </w:rPr>
              <w:t>4,892,192</w:t>
            </w:r>
          </w:p>
        </w:tc>
      </w:tr>
    </w:tbl>
    <w:p w:rsidR="00CF248E" w:rsidRDefault="00CF248E" w:rsidP="00D668F9">
      <w:pPr>
        <w:spacing w:before="360"/>
      </w:pPr>
      <w:r>
        <w:t>The fair value of listed available-for-sale investments has been determined directly by reference to published price quotations in an active market.</w:t>
      </w:r>
    </w:p>
    <w:p w:rsidR="00D2400B" w:rsidRDefault="00D2400B" w:rsidP="00A32AC0">
      <w:pPr>
        <w:spacing w:before="120"/>
      </w:pPr>
      <w:r w:rsidRPr="00662339">
        <w:t>Had the company’s financial assets been measured on a historical cost basis, their carrying amount would have been as follows: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urrent total financial assets"/>
      </w:tblPr>
      <w:tblGrid>
        <w:gridCol w:w="5353"/>
        <w:gridCol w:w="1675"/>
        <w:gridCol w:w="2152"/>
      </w:tblGrid>
      <w:tr w:rsidR="003A7164" w:rsidRPr="00522D47" w:rsidTr="000F252A">
        <w:trPr>
          <w:cnfStyle w:val="100000000000" w:firstRow="1" w:lastRow="0" w:firstColumn="0" w:lastColumn="0" w:oddVBand="0" w:evenVBand="0" w:oddHBand="0" w:evenHBand="0" w:firstRowFirstColumn="0" w:firstRowLastColumn="0" w:lastRowFirstColumn="0" w:lastRowLastColumn="0"/>
          <w:tblHeader/>
        </w:trPr>
        <w:tc>
          <w:tcPr>
            <w:tcW w:w="5353" w:type="dxa"/>
          </w:tcPr>
          <w:p w:rsidR="003A7164" w:rsidRPr="00522D47" w:rsidRDefault="001132C8" w:rsidP="003A7164">
            <w:pPr>
              <w:spacing w:after="60"/>
              <w:rPr>
                <w:rFonts w:cstheme="minorHAnsi"/>
                <w:sz w:val="24"/>
                <w:szCs w:val="24"/>
              </w:rPr>
            </w:pPr>
            <w:r>
              <w:rPr>
                <w:rFonts w:cstheme="minorHAnsi"/>
              </w:rPr>
              <w:br/>
            </w:r>
            <w:r w:rsidR="003A7164" w:rsidRPr="00522D47">
              <w:rPr>
                <w:rFonts w:cstheme="minorHAnsi"/>
              </w:rPr>
              <w:t>Current</w:t>
            </w:r>
          </w:p>
        </w:tc>
        <w:tc>
          <w:tcPr>
            <w:tcW w:w="1675" w:type="dxa"/>
          </w:tcPr>
          <w:p w:rsidR="003A7164" w:rsidRPr="00522D47" w:rsidRDefault="00985FF4" w:rsidP="00C20090">
            <w:pPr>
              <w:spacing w:after="60" w:line="240" w:lineRule="auto"/>
              <w:ind w:right="149"/>
              <w:jc w:val="right"/>
              <w:rPr>
                <w:rFonts w:cstheme="minorHAnsi"/>
              </w:rPr>
            </w:pPr>
            <w:r w:rsidRPr="00522D47">
              <w:rPr>
                <w:rFonts w:cstheme="minorHAnsi"/>
                <w:color w:val="000000"/>
              </w:rPr>
              <w:t>2015</w:t>
            </w:r>
            <w:r w:rsidR="003A7164" w:rsidRPr="00522D47">
              <w:rPr>
                <w:rFonts w:cstheme="minorHAnsi"/>
                <w:color w:val="000000"/>
              </w:rPr>
              <w:br/>
              <w:t>$</w:t>
            </w:r>
          </w:p>
        </w:tc>
        <w:tc>
          <w:tcPr>
            <w:tcW w:w="2152" w:type="dxa"/>
          </w:tcPr>
          <w:p w:rsidR="003A7164" w:rsidRPr="00522D47" w:rsidRDefault="00985FF4" w:rsidP="003206AB">
            <w:pPr>
              <w:spacing w:after="60" w:line="240" w:lineRule="auto"/>
              <w:jc w:val="right"/>
              <w:rPr>
                <w:rFonts w:cstheme="minorHAnsi"/>
              </w:rPr>
            </w:pPr>
            <w:r w:rsidRPr="00522D47">
              <w:rPr>
                <w:rFonts w:cstheme="minorHAnsi"/>
                <w:color w:val="000000"/>
              </w:rPr>
              <w:t>2014</w:t>
            </w:r>
            <w:r w:rsidR="003A7164" w:rsidRPr="00522D47">
              <w:rPr>
                <w:rFonts w:cstheme="minorHAnsi"/>
                <w:color w:val="000000"/>
              </w:rPr>
              <w:br/>
              <w:t>$</w:t>
            </w:r>
          </w:p>
        </w:tc>
      </w:tr>
      <w:tr w:rsidR="00CE367A" w:rsidRPr="00522D47" w:rsidTr="000F252A">
        <w:tc>
          <w:tcPr>
            <w:tcW w:w="5353" w:type="dxa"/>
          </w:tcPr>
          <w:p w:rsidR="00CE367A" w:rsidRPr="00522D47" w:rsidRDefault="00CE367A" w:rsidP="003A7164">
            <w:pPr>
              <w:spacing w:after="60"/>
              <w:rPr>
                <w:sz w:val="24"/>
                <w:szCs w:val="24"/>
              </w:rPr>
            </w:pPr>
            <w:r w:rsidRPr="00522D47">
              <w:t>Financial assets at cost value through profit or loss</w:t>
            </w:r>
          </w:p>
        </w:tc>
        <w:tc>
          <w:tcPr>
            <w:tcW w:w="1675" w:type="dxa"/>
            <w:tcBorders>
              <w:bottom w:val="single" w:sz="4" w:space="0" w:color="auto"/>
            </w:tcBorders>
          </w:tcPr>
          <w:p w:rsidR="00CE367A" w:rsidRPr="00522D47" w:rsidRDefault="00A31F05" w:rsidP="00DB3DFE">
            <w:pPr>
              <w:spacing w:after="60"/>
              <w:ind w:right="149"/>
              <w:jc w:val="right"/>
              <w:rPr>
                <w:szCs w:val="22"/>
              </w:rPr>
            </w:pPr>
            <w:r w:rsidRPr="00522D47">
              <w:rPr>
                <w:szCs w:val="22"/>
              </w:rPr>
              <w:t>4,456,080</w:t>
            </w:r>
          </w:p>
        </w:tc>
        <w:tc>
          <w:tcPr>
            <w:tcW w:w="2152" w:type="dxa"/>
            <w:tcBorders>
              <w:bottom w:val="single" w:sz="4" w:space="0" w:color="auto"/>
            </w:tcBorders>
          </w:tcPr>
          <w:p w:rsidR="00CE367A" w:rsidRPr="00522D47" w:rsidRDefault="00CE367A" w:rsidP="0033488A">
            <w:pPr>
              <w:spacing w:after="60"/>
              <w:ind w:right="149"/>
              <w:jc w:val="right"/>
              <w:rPr>
                <w:szCs w:val="22"/>
              </w:rPr>
            </w:pPr>
            <w:r w:rsidRPr="00522D47">
              <w:rPr>
                <w:szCs w:val="22"/>
              </w:rPr>
              <w:t>4,184,037</w:t>
            </w:r>
          </w:p>
        </w:tc>
      </w:tr>
      <w:tr w:rsidR="00CE367A" w:rsidTr="000F252A">
        <w:tc>
          <w:tcPr>
            <w:tcW w:w="5353" w:type="dxa"/>
          </w:tcPr>
          <w:p w:rsidR="00CE367A" w:rsidRPr="00522D47" w:rsidRDefault="00CE367A" w:rsidP="003A7164">
            <w:pPr>
              <w:spacing w:after="60"/>
              <w:rPr>
                <w:sz w:val="24"/>
                <w:szCs w:val="24"/>
              </w:rPr>
            </w:pPr>
            <w:r w:rsidRPr="00522D47">
              <w:rPr>
                <w:b/>
                <w:bCs/>
              </w:rPr>
              <w:t>Total Financial Assets</w:t>
            </w:r>
          </w:p>
        </w:tc>
        <w:tc>
          <w:tcPr>
            <w:tcW w:w="1675" w:type="dxa"/>
            <w:tcBorders>
              <w:top w:val="single" w:sz="4" w:space="0" w:color="auto"/>
              <w:bottom w:val="double" w:sz="4" w:space="0" w:color="auto"/>
            </w:tcBorders>
          </w:tcPr>
          <w:p w:rsidR="00CE367A" w:rsidRPr="00522D47" w:rsidRDefault="00A31F05" w:rsidP="00DB3DFE">
            <w:pPr>
              <w:spacing w:after="60"/>
              <w:ind w:right="149"/>
              <w:jc w:val="right"/>
              <w:rPr>
                <w:szCs w:val="22"/>
              </w:rPr>
            </w:pPr>
            <w:r w:rsidRPr="00522D47">
              <w:rPr>
                <w:szCs w:val="22"/>
              </w:rPr>
              <w:t>4,456,080</w:t>
            </w:r>
          </w:p>
        </w:tc>
        <w:tc>
          <w:tcPr>
            <w:tcW w:w="2152" w:type="dxa"/>
            <w:tcBorders>
              <w:top w:val="single" w:sz="4" w:space="0" w:color="auto"/>
              <w:bottom w:val="double" w:sz="4" w:space="0" w:color="auto"/>
            </w:tcBorders>
          </w:tcPr>
          <w:p w:rsidR="00CE367A" w:rsidRPr="000C70F1" w:rsidRDefault="00CE367A" w:rsidP="0033488A">
            <w:pPr>
              <w:spacing w:after="60"/>
              <w:ind w:right="149"/>
              <w:jc w:val="right"/>
              <w:rPr>
                <w:szCs w:val="22"/>
              </w:rPr>
            </w:pPr>
            <w:r w:rsidRPr="00522D47">
              <w:rPr>
                <w:szCs w:val="22"/>
              </w:rPr>
              <w:t>4,184,037</w:t>
            </w:r>
          </w:p>
        </w:tc>
      </w:tr>
    </w:tbl>
    <w:p w:rsidR="00D2400B" w:rsidRPr="003A7164" w:rsidRDefault="00781726" w:rsidP="00CB5652">
      <w:pPr>
        <w:pStyle w:val="ListParagraph"/>
        <w:numPr>
          <w:ilvl w:val="2"/>
          <w:numId w:val="36"/>
        </w:numPr>
        <w:spacing w:before="360"/>
        <w:rPr>
          <w:b/>
          <w:i/>
        </w:rPr>
      </w:pPr>
      <w:r w:rsidRPr="003A7164">
        <w:rPr>
          <w:b/>
          <w:i/>
        </w:rPr>
        <w:t>Hel</w:t>
      </w:r>
      <w:r w:rsidR="00D2400B" w:rsidRPr="003A7164">
        <w:rPr>
          <w:b/>
          <w:i/>
        </w:rPr>
        <w:t>d-for-trading investments</w:t>
      </w:r>
    </w:p>
    <w:p w:rsidR="00D2400B" w:rsidRDefault="00D2400B" w:rsidP="006D2D33">
      <w:pPr>
        <w:spacing w:after="240"/>
      </w:pPr>
      <w:r w:rsidRPr="00662339">
        <w:t>Securities in listed corporations, unit trusts and other publicly available investments funds held for trading purpose to generate income through the receipts of dividends and capital gains.</w:t>
      </w:r>
    </w:p>
    <w:p w:rsidR="006D2D33" w:rsidRDefault="006D2D33" w:rsidP="001132C8">
      <w:pPr>
        <w:widowControl w:val="0"/>
        <w:autoSpaceDE w:val="0"/>
        <w:autoSpaceDN w:val="0"/>
        <w:adjustRightInd w:val="0"/>
        <w:spacing w:before="1680" w:after="0" w:line="240" w:lineRule="auto"/>
        <w:ind w:left="1728" w:right="1176"/>
        <w:jc w:val="center"/>
        <w:rPr>
          <w:rFonts w:cstheme="minorHAnsi"/>
          <w:color w:val="000000"/>
        </w:rPr>
      </w:pPr>
      <w:r w:rsidRPr="00105329">
        <w:rPr>
          <w:rFonts w:cstheme="minorHAnsi"/>
          <w:i/>
          <w:iCs/>
          <w:color w:val="000000"/>
          <w:szCs w:val="16"/>
        </w:rPr>
        <w:t>These notes form part of the financial statements</w:t>
      </w:r>
      <w:r>
        <w:rPr>
          <w:rFonts w:cstheme="minorHAnsi"/>
          <w:color w:val="000000"/>
        </w:rPr>
        <w:br w:type="page"/>
      </w:r>
    </w:p>
    <w:p w:rsidR="006D2D33" w:rsidRPr="00E171F7" w:rsidRDefault="006D2D33" w:rsidP="006D2D33">
      <w:pPr>
        <w:rPr>
          <w:sz w:val="48"/>
        </w:rPr>
      </w:pPr>
      <w:r w:rsidRPr="00E171F7">
        <w:rPr>
          <w:sz w:val="48"/>
        </w:rPr>
        <w:lastRenderedPageBreak/>
        <w:t>Notes to the Financial Statements</w:t>
      </w:r>
    </w:p>
    <w:p w:rsidR="006D2D33" w:rsidRPr="006D2D33" w:rsidRDefault="00C20090" w:rsidP="006D2D33">
      <w:pPr>
        <w:rPr>
          <w:b/>
          <w:sz w:val="24"/>
          <w:szCs w:val="24"/>
        </w:rPr>
      </w:pPr>
      <w:r>
        <w:rPr>
          <w:b/>
        </w:rPr>
        <w:t xml:space="preserve">For the Year ended 30 June </w:t>
      </w:r>
      <w:r w:rsidR="00985FF4">
        <w:rPr>
          <w:b/>
        </w:rPr>
        <w:t>2015</w:t>
      </w:r>
    </w:p>
    <w:tbl>
      <w:tblPr>
        <w:tblStyle w:val="TableGrid"/>
        <w:tblpPr w:leftFromText="180" w:rightFromText="180" w:vertAnchor="text" w:horzAnchor="margin" w:tblpXSpec="center" w:tblpY="328"/>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perty, plant &amp; equipment"/>
      </w:tblPr>
      <w:tblGrid>
        <w:gridCol w:w="5950"/>
        <w:gridCol w:w="1670"/>
        <w:gridCol w:w="1565"/>
      </w:tblGrid>
      <w:tr w:rsidR="00A32AC0" w:rsidTr="00515B5E">
        <w:trPr>
          <w:cnfStyle w:val="100000000000" w:firstRow="1" w:lastRow="0" w:firstColumn="0" w:lastColumn="0" w:oddVBand="0" w:evenVBand="0" w:oddHBand="0" w:evenHBand="0" w:firstRowFirstColumn="0" w:firstRowLastColumn="0" w:lastRowFirstColumn="0" w:lastRowLastColumn="0"/>
          <w:tblHeader/>
        </w:trPr>
        <w:tc>
          <w:tcPr>
            <w:tcW w:w="5950" w:type="dxa"/>
            <w:shd w:val="clear" w:color="auto" w:fill="auto"/>
          </w:tcPr>
          <w:p w:rsidR="00A32AC0" w:rsidRPr="00522D47" w:rsidRDefault="00A32AC0" w:rsidP="006D2D33">
            <w:pPr>
              <w:pStyle w:val="Heading2"/>
              <w:spacing w:before="0"/>
              <w:outlineLvl w:val="1"/>
            </w:pPr>
            <w:r w:rsidRPr="00522D47">
              <w:t>9.</w:t>
            </w:r>
            <w:r w:rsidR="000B4B10" w:rsidRPr="00522D47">
              <w:t xml:space="preserve"> </w:t>
            </w:r>
            <w:r w:rsidRPr="00522D47">
              <w:t>Property, Plant &amp; Equipment</w:t>
            </w:r>
          </w:p>
        </w:tc>
        <w:tc>
          <w:tcPr>
            <w:tcW w:w="1670" w:type="dxa"/>
            <w:shd w:val="clear" w:color="auto" w:fill="auto"/>
          </w:tcPr>
          <w:p w:rsidR="00A32AC0" w:rsidRPr="00522D47" w:rsidRDefault="00985FF4" w:rsidP="00515B5E">
            <w:pPr>
              <w:spacing w:afterLines="60" w:after="144" w:line="240" w:lineRule="auto"/>
              <w:jc w:val="right"/>
              <w:rPr>
                <w:rFonts w:cstheme="minorHAnsi"/>
              </w:rPr>
            </w:pPr>
            <w:r w:rsidRPr="00522D47">
              <w:rPr>
                <w:rFonts w:cstheme="minorHAnsi"/>
                <w:color w:val="000000"/>
              </w:rPr>
              <w:t>2015</w:t>
            </w:r>
            <w:r w:rsidR="00A32AC0" w:rsidRPr="00522D47">
              <w:rPr>
                <w:rFonts w:cstheme="minorHAnsi"/>
                <w:color w:val="000000"/>
              </w:rPr>
              <w:br/>
              <w:t>$</w:t>
            </w:r>
          </w:p>
        </w:tc>
        <w:tc>
          <w:tcPr>
            <w:tcW w:w="1565" w:type="dxa"/>
            <w:shd w:val="clear" w:color="auto" w:fill="auto"/>
          </w:tcPr>
          <w:p w:rsidR="00A32AC0" w:rsidRPr="00522D47" w:rsidRDefault="00985FF4" w:rsidP="00C20090">
            <w:pPr>
              <w:spacing w:afterLines="60" w:after="144" w:line="240" w:lineRule="auto"/>
              <w:jc w:val="right"/>
              <w:rPr>
                <w:rFonts w:cstheme="minorHAnsi"/>
              </w:rPr>
            </w:pPr>
            <w:r w:rsidRPr="00522D47">
              <w:rPr>
                <w:rFonts w:cstheme="minorHAnsi"/>
                <w:color w:val="000000"/>
              </w:rPr>
              <w:t>2014</w:t>
            </w:r>
            <w:r w:rsidR="00A32AC0" w:rsidRPr="00522D47">
              <w:rPr>
                <w:rFonts w:cstheme="minorHAnsi"/>
                <w:color w:val="000000"/>
              </w:rPr>
              <w:br/>
              <w:t>$</w:t>
            </w:r>
          </w:p>
        </w:tc>
      </w:tr>
      <w:tr w:rsidR="00CE367A" w:rsidRPr="00733129" w:rsidTr="00515B5E">
        <w:tc>
          <w:tcPr>
            <w:tcW w:w="5950" w:type="dxa"/>
            <w:shd w:val="clear" w:color="auto" w:fill="auto"/>
          </w:tcPr>
          <w:p w:rsidR="00CE367A" w:rsidRPr="00522D47" w:rsidRDefault="00CE367A" w:rsidP="00CE367A">
            <w:pPr>
              <w:spacing w:afterLines="60" w:after="144" w:line="240" w:lineRule="auto"/>
            </w:pPr>
            <w:r w:rsidRPr="00522D47">
              <w:t>Motor Vehicles</w:t>
            </w:r>
          </w:p>
        </w:tc>
        <w:tc>
          <w:tcPr>
            <w:tcW w:w="1670" w:type="dxa"/>
            <w:shd w:val="clear" w:color="auto" w:fill="auto"/>
          </w:tcPr>
          <w:p w:rsidR="00CE367A" w:rsidRPr="00522D47" w:rsidRDefault="00CE367A" w:rsidP="00CE367A">
            <w:pPr>
              <w:spacing w:afterLines="60" w:after="144" w:line="240" w:lineRule="auto"/>
              <w:jc w:val="right"/>
            </w:pPr>
            <w:r w:rsidRPr="00522D47">
              <w:t>-</w:t>
            </w:r>
          </w:p>
        </w:tc>
        <w:tc>
          <w:tcPr>
            <w:tcW w:w="1565" w:type="dxa"/>
            <w:shd w:val="clear" w:color="auto" w:fill="auto"/>
          </w:tcPr>
          <w:p w:rsidR="00CE367A" w:rsidRPr="00522D47" w:rsidRDefault="00CE367A" w:rsidP="00CE367A">
            <w:pPr>
              <w:spacing w:afterLines="60" w:after="144" w:line="240" w:lineRule="auto"/>
              <w:jc w:val="right"/>
            </w:pPr>
            <w:r w:rsidRPr="00522D47">
              <w:t>-</w:t>
            </w:r>
          </w:p>
        </w:tc>
      </w:tr>
      <w:tr w:rsidR="00CE367A" w:rsidRPr="00733129" w:rsidTr="00515B5E">
        <w:tc>
          <w:tcPr>
            <w:tcW w:w="5950" w:type="dxa"/>
            <w:shd w:val="clear" w:color="auto" w:fill="auto"/>
          </w:tcPr>
          <w:p w:rsidR="00CE367A" w:rsidRPr="00522D47" w:rsidRDefault="00CE367A" w:rsidP="00CE367A">
            <w:pPr>
              <w:spacing w:afterLines="60" w:after="144" w:line="240" w:lineRule="auto"/>
            </w:pPr>
            <w:r w:rsidRPr="00522D47">
              <w:t>Less Accumulated Depreciation &amp; Impairment</w:t>
            </w:r>
          </w:p>
        </w:tc>
        <w:tc>
          <w:tcPr>
            <w:tcW w:w="1670" w:type="dxa"/>
            <w:tcBorders>
              <w:bottom w:val="single" w:sz="4" w:space="0" w:color="auto"/>
            </w:tcBorders>
            <w:shd w:val="clear" w:color="auto" w:fill="auto"/>
          </w:tcPr>
          <w:p w:rsidR="00CE367A" w:rsidRPr="00522D47" w:rsidRDefault="00CE367A" w:rsidP="00CE367A">
            <w:pPr>
              <w:spacing w:afterLines="60" w:after="144" w:line="240" w:lineRule="auto"/>
              <w:jc w:val="right"/>
            </w:pPr>
            <w:r w:rsidRPr="00522D47">
              <w:t>-</w:t>
            </w:r>
          </w:p>
        </w:tc>
        <w:tc>
          <w:tcPr>
            <w:tcW w:w="1565" w:type="dxa"/>
            <w:tcBorders>
              <w:bottom w:val="single" w:sz="4" w:space="0" w:color="auto"/>
            </w:tcBorders>
            <w:shd w:val="clear" w:color="auto" w:fill="auto"/>
          </w:tcPr>
          <w:p w:rsidR="00CE367A" w:rsidRPr="00522D47" w:rsidRDefault="00CE367A" w:rsidP="00CE367A">
            <w:pPr>
              <w:spacing w:afterLines="60" w:after="144" w:line="240" w:lineRule="auto"/>
              <w:jc w:val="right"/>
            </w:pPr>
            <w:r w:rsidRPr="00522D47">
              <w:t>-</w:t>
            </w:r>
          </w:p>
        </w:tc>
      </w:tr>
      <w:tr w:rsidR="00CE367A" w:rsidRPr="00733129" w:rsidTr="00515B5E">
        <w:trPr>
          <w:trHeight w:val="75"/>
        </w:trPr>
        <w:tc>
          <w:tcPr>
            <w:tcW w:w="5950" w:type="dxa"/>
            <w:shd w:val="clear" w:color="auto" w:fill="auto"/>
          </w:tcPr>
          <w:p w:rsidR="00CE367A" w:rsidRPr="00522D47" w:rsidRDefault="00CE367A" w:rsidP="00CE367A">
            <w:pPr>
              <w:spacing w:afterLines="60" w:after="144" w:line="240" w:lineRule="auto"/>
            </w:pPr>
          </w:p>
        </w:tc>
        <w:tc>
          <w:tcPr>
            <w:tcW w:w="1670" w:type="dxa"/>
            <w:tcBorders>
              <w:top w:val="single" w:sz="4" w:space="0" w:color="auto"/>
            </w:tcBorders>
            <w:shd w:val="clear" w:color="auto" w:fill="auto"/>
          </w:tcPr>
          <w:p w:rsidR="00CE367A" w:rsidRPr="00522D47" w:rsidRDefault="00CE367A" w:rsidP="00CE367A">
            <w:pPr>
              <w:spacing w:afterLines="60" w:after="144" w:line="240" w:lineRule="auto"/>
              <w:jc w:val="right"/>
            </w:pPr>
            <w:r w:rsidRPr="00522D47">
              <w:t>-</w:t>
            </w:r>
          </w:p>
        </w:tc>
        <w:tc>
          <w:tcPr>
            <w:tcW w:w="1565" w:type="dxa"/>
            <w:tcBorders>
              <w:top w:val="single" w:sz="4" w:space="0" w:color="auto"/>
            </w:tcBorders>
            <w:shd w:val="clear" w:color="auto" w:fill="auto"/>
          </w:tcPr>
          <w:p w:rsidR="00CE367A" w:rsidRPr="00522D47" w:rsidRDefault="00CE367A" w:rsidP="00CE367A">
            <w:pPr>
              <w:spacing w:afterLines="60" w:after="144" w:line="240" w:lineRule="auto"/>
              <w:jc w:val="right"/>
            </w:pPr>
            <w:r w:rsidRPr="00522D47">
              <w:t>-</w:t>
            </w:r>
          </w:p>
        </w:tc>
      </w:tr>
      <w:tr w:rsidR="00CE367A" w:rsidRPr="007A1B78" w:rsidTr="00515B5E">
        <w:tc>
          <w:tcPr>
            <w:tcW w:w="5950" w:type="dxa"/>
            <w:shd w:val="clear" w:color="auto" w:fill="auto"/>
          </w:tcPr>
          <w:p w:rsidR="00CE367A" w:rsidRPr="00522D47" w:rsidRDefault="00CE367A" w:rsidP="00CE367A">
            <w:pPr>
              <w:spacing w:afterLines="60" w:after="144" w:line="240" w:lineRule="auto"/>
              <w:rPr>
                <w:rFonts w:cstheme="minorHAnsi"/>
                <w:sz w:val="24"/>
                <w:szCs w:val="24"/>
              </w:rPr>
            </w:pPr>
            <w:r w:rsidRPr="00522D47">
              <w:rPr>
                <w:rFonts w:cstheme="minorHAnsi"/>
                <w:color w:val="000000"/>
              </w:rPr>
              <w:t>Office Furniture &amp; Equipment</w:t>
            </w:r>
          </w:p>
        </w:tc>
        <w:tc>
          <w:tcPr>
            <w:tcW w:w="1670" w:type="dxa"/>
            <w:shd w:val="clear" w:color="auto" w:fill="auto"/>
          </w:tcPr>
          <w:p w:rsidR="00CE367A" w:rsidRPr="00522D47" w:rsidRDefault="006420C8" w:rsidP="00CE367A">
            <w:pPr>
              <w:spacing w:afterLines="60" w:after="144" w:line="240" w:lineRule="auto"/>
              <w:jc w:val="right"/>
              <w:rPr>
                <w:rFonts w:cstheme="minorHAnsi"/>
                <w:szCs w:val="22"/>
              </w:rPr>
            </w:pPr>
            <w:r w:rsidRPr="00522D47">
              <w:rPr>
                <w:rFonts w:cstheme="minorHAnsi"/>
                <w:szCs w:val="22"/>
              </w:rPr>
              <w:t>143,772</w:t>
            </w:r>
          </w:p>
        </w:tc>
        <w:tc>
          <w:tcPr>
            <w:tcW w:w="1565" w:type="dxa"/>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139,411</w:t>
            </w:r>
          </w:p>
        </w:tc>
      </w:tr>
      <w:tr w:rsidR="00CE367A" w:rsidRPr="007A1B78" w:rsidTr="00515B5E">
        <w:tc>
          <w:tcPr>
            <w:tcW w:w="5950" w:type="dxa"/>
            <w:shd w:val="clear" w:color="auto" w:fill="auto"/>
          </w:tcPr>
          <w:p w:rsidR="00CE367A" w:rsidRPr="00522D47" w:rsidRDefault="00CE367A" w:rsidP="00CE367A">
            <w:pPr>
              <w:spacing w:afterLines="60" w:after="144" w:line="240" w:lineRule="auto"/>
              <w:rPr>
                <w:rFonts w:cstheme="minorHAnsi"/>
                <w:sz w:val="24"/>
                <w:szCs w:val="24"/>
              </w:rPr>
            </w:pPr>
            <w:r w:rsidRPr="00522D47">
              <w:rPr>
                <w:rFonts w:cstheme="minorHAnsi"/>
                <w:color w:val="000000"/>
              </w:rPr>
              <w:t>Less Accumulated Depreciation &amp; Impairment</w:t>
            </w:r>
          </w:p>
        </w:tc>
        <w:tc>
          <w:tcPr>
            <w:tcW w:w="1670" w:type="dxa"/>
            <w:tcBorders>
              <w:bottom w:val="single" w:sz="4" w:space="0" w:color="auto"/>
            </w:tcBorders>
            <w:shd w:val="clear" w:color="auto" w:fill="auto"/>
          </w:tcPr>
          <w:p w:rsidR="00CE367A" w:rsidRPr="00522D47" w:rsidRDefault="00CE367A" w:rsidP="006420C8">
            <w:pPr>
              <w:spacing w:afterLines="60" w:after="144" w:line="240" w:lineRule="auto"/>
              <w:jc w:val="right"/>
              <w:rPr>
                <w:rFonts w:cstheme="minorHAnsi"/>
                <w:szCs w:val="22"/>
              </w:rPr>
            </w:pPr>
            <w:r w:rsidRPr="00522D47">
              <w:rPr>
                <w:rFonts w:cstheme="minorHAnsi"/>
                <w:szCs w:val="22"/>
              </w:rPr>
              <w:t>(13</w:t>
            </w:r>
            <w:r w:rsidR="006420C8" w:rsidRPr="00522D47">
              <w:rPr>
                <w:rFonts w:cstheme="minorHAnsi"/>
                <w:szCs w:val="22"/>
              </w:rPr>
              <w:t>1</w:t>
            </w:r>
            <w:r w:rsidRPr="00522D47">
              <w:rPr>
                <w:rFonts w:cstheme="minorHAnsi"/>
                <w:szCs w:val="22"/>
              </w:rPr>
              <w:t>,</w:t>
            </w:r>
            <w:r w:rsidR="006420C8" w:rsidRPr="00522D47">
              <w:rPr>
                <w:rFonts w:cstheme="minorHAnsi"/>
                <w:szCs w:val="22"/>
              </w:rPr>
              <w:t>062</w:t>
            </w:r>
            <w:r w:rsidRPr="00522D47">
              <w:rPr>
                <w:rFonts w:cstheme="minorHAnsi"/>
                <w:szCs w:val="22"/>
              </w:rPr>
              <w:t>)</w:t>
            </w:r>
          </w:p>
        </w:tc>
        <w:tc>
          <w:tcPr>
            <w:tcW w:w="1565" w:type="dxa"/>
            <w:tcBorders>
              <w:bottom w:val="single" w:sz="4" w:space="0" w:color="auto"/>
            </w:tcBorders>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(123,864)</w:t>
            </w:r>
          </w:p>
        </w:tc>
      </w:tr>
      <w:tr w:rsidR="00CE367A" w:rsidRPr="007A1B78" w:rsidTr="00515B5E">
        <w:tc>
          <w:tcPr>
            <w:tcW w:w="5950" w:type="dxa"/>
            <w:shd w:val="clear" w:color="auto" w:fill="auto"/>
          </w:tcPr>
          <w:p w:rsidR="00CE367A" w:rsidRPr="00522D47" w:rsidRDefault="00CE367A" w:rsidP="00CE367A">
            <w:pPr>
              <w:spacing w:afterLines="60" w:after="144" w:line="240" w:lineRule="auto"/>
              <w:rPr>
                <w:rFonts w:cstheme="minorHAnsi"/>
                <w:sz w:val="24"/>
                <w:szCs w:val="24"/>
              </w:rPr>
            </w:pPr>
          </w:p>
        </w:tc>
        <w:tc>
          <w:tcPr>
            <w:tcW w:w="1670" w:type="dxa"/>
            <w:tcBorders>
              <w:top w:val="single" w:sz="4" w:space="0" w:color="auto"/>
            </w:tcBorders>
            <w:shd w:val="clear" w:color="auto" w:fill="auto"/>
          </w:tcPr>
          <w:p w:rsidR="00CE367A" w:rsidRPr="00522D47" w:rsidRDefault="00CE367A" w:rsidP="006420C8">
            <w:pPr>
              <w:spacing w:afterLines="60" w:after="144" w:line="240" w:lineRule="auto"/>
              <w:jc w:val="right"/>
              <w:rPr>
                <w:rFonts w:cstheme="minorHAnsi"/>
                <w:szCs w:val="22"/>
              </w:rPr>
            </w:pPr>
            <w:r w:rsidRPr="00522D47">
              <w:rPr>
                <w:rFonts w:cstheme="minorHAnsi"/>
                <w:szCs w:val="22"/>
              </w:rPr>
              <w:t>1</w:t>
            </w:r>
            <w:r w:rsidR="006420C8" w:rsidRPr="00522D47">
              <w:rPr>
                <w:rFonts w:cstheme="minorHAnsi"/>
                <w:szCs w:val="22"/>
              </w:rPr>
              <w:t>2</w:t>
            </w:r>
            <w:r w:rsidRPr="00522D47">
              <w:rPr>
                <w:rFonts w:cstheme="minorHAnsi"/>
                <w:szCs w:val="22"/>
              </w:rPr>
              <w:t>,7</w:t>
            </w:r>
            <w:r w:rsidR="006420C8" w:rsidRPr="00522D47">
              <w:rPr>
                <w:rFonts w:cstheme="minorHAnsi"/>
                <w:szCs w:val="22"/>
              </w:rPr>
              <w:t>10</w:t>
            </w:r>
          </w:p>
        </w:tc>
        <w:tc>
          <w:tcPr>
            <w:tcW w:w="1565" w:type="dxa"/>
            <w:tcBorders>
              <w:top w:val="single" w:sz="4" w:space="0" w:color="auto"/>
            </w:tcBorders>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15,547</w:t>
            </w:r>
          </w:p>
        </w:tc>
      </w:tr>
      <w:tr w:rsidR="00CE367A" w:rsidRPr="007A1B78" w:rsidTr="00515B5E">
        <w:tc>
          <w:tcPr>
            <w:tcW w:w="5950" w:type="dxa"/>
            <w:shd w:val="clear" w:color="auto" w:fill="auto"/>
          </w:tcPr>
          <w:p w:rsidR="00CE367A" w:rsidRPr="00522D47" w:rsidRDefault="00CE367A" w:rsidP="00CE367A">
            <w:pPr>
              <w:spacing w:afterLines="60" w:after="144" w:line="240" w:lineRule="auto"/>
              <w:rPr>
                <w:rFonts w:cstheme="minorHAnsi"/>
                <w:sz w:val="24"/>
                <w:szCs w:val="24"/>
              </w:rPr>
            </w:pPr>
            <w:r w:rsidRPr="00522D47">
              <w:rPr>
                <w:rFonts w:cstheme="minorHAnsi"/>
                <w:color w:val="000000"/>
              </w:rPr>
              <w:t>Furniture &amp; Fittings</w:t>
            </w:r>
          </w:p>
        </w:tc>
        <w:tc>
          <w:tcPr>
            <w:tcW w:w="1670" w:type="dxa"/>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56,495</w:t>
            </w:r>
          </w:p>
        </w:tc>
        <w:tc>
          <w:tcPr>
            <w:tcW w:w="1565" w:type="dxa"/>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56,495</w:t>
            </w:r>
          </w:p>
        </w:tc>
      </w:tr>
      <w:tr w:rsidR="00CE367A" w:rsidRPr="007A1B78" w:rsidTr="00515B5E">
        <w:tc>
          <w:tcPr>
            <w:tcW w:w="5950" w:type="dxa"/>
            <w:shd w:val="clear" w:color="auto" w:fill="auto"/>
          </w:tcPr>
          <w:p w:rsidR="00CE367A" w:rsidRPr="00522D47" w:rsidRDefault="00CE367A" w:rsidP="00CE367A">
            <w:pPr>
              <w:spacing w:afterLines="60" w:after="144" w:line="240" w:lineRule="auto"/>
              <w:rPr>
                <w:rFonts w:cstheme="minorHAnsi"/>
                <w:sz w:val="24"/>
                <w:szCs w:val="24"/>
              </w:rPr>
            </w:pPr>
            <w:r w:rsidRPr="00522D47">
              <w:rPr>
                <w:rFonts w:cstheme="minorHAnsi"/>
                <w:color w:val="000000"/>
              </w:rPr>
              <w:t>Less Accumulated Depreciation &amp; Impairment</w:t>
            </w:r>
          </w:p>
        </w:tc>
        <w:tc>
          <w:tcPr>
            <w:tcW w:w="1670" w:type="dxa"/>
            <w:tcBorders>
              <w:bottom w:val="single" w:sz="4" w:space="0" w:color="auto"/>
            </w:tcBorders>
            <w:shd w:val="clear" w:color="auto" w:fill="auto"/>
          </w:tcPr>
          <w:p w:rsidR="00CE367A" w:rsidRPr="00522D47" w:rsidRDefault="00CE367A" w:rsidP="006420C8">
            <w:pPr>
              <w:spacing w:afterLines="60" w:after="144" w:line="240" w:lineRule="auto"/>
              <w:jc w:val="right"/>
              <w:rPr>
                <w:rFonts w:cstheme="minorHAnsi"/>
                <w:szCs w:val="22"/>
              </w:rPr>
            </w:pPr>
            <w:r w:rsidRPr="00522D47">
              <w:rPr>
                <w:rFonts w:cstheme="minorHAnsi"/>
                <w:szCs w:val="22"/>
              </w:rPr>
              <w:t>(</w:t>
            </w:r>
            <w:r w:rsidR="006420C8" w:rsidRPr="00522D47">
              <w:rPr>
                <w:rFonts w:cstheme="minorHAnsi"/>
                <w:szCs w:val="22"/>
              </w:rPr>
              <w:t>50,983</w:t>
            </w:r>
            <w:r w:rsidRPr="00522D47">
              <w:rPr>
                <w:rFonts w:cstheme="minorHAnsi"/>
                <w:szCs w:val="22"/>
              </w:rPr>
              <w:t>)</w:t>
            </w:r>
          </w:p>
        </w:tc>
        <w:tc>
          <w:tcPr>
            <w:tcW w:w="1565" w:type="dxa"/>
            <w:tcBorders>
              <w:bottom w:val="single" w:sz="4" w:space="0" w:color="auto"/>
            </w:tcBorders>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(47,621)</w:t>
            </w:r>
          </w:p>
        </w:tc>
      </w:tr>
      <w:tr w:rsidR="00CE367A" w:rsidRPr="007A1B78" w:rsidTr="00515B5E">
        <w:tc>
          <w:tcPr>
            <w:tcW w:w="5950" w:type="dxa"/>
            <w:shd w:val="clear" w:color="auto" w:fill="auto"/>
          </w:tcPr>
          <w:p w:rsidR="00CE367A" w:rsidRPr="00522D47" w:rsidRDefault="00CE367A" w:rsidP="00CE367A">
            <w:pPr>
              <w:spacing w:afterLines="60" w:after="144" w:line="240" w:lineRule="auto"/>
              <w:rPr>
                <w:rFonts w:cstheme="minorHAnsi"/>
                <w:sz w:val="24"/>
                <w:szCs w:val="24"/>
              </w:rPr>
            </w:pPr>
          </w:p>
        </w:tc>
        <w:tc>
          <w:tcPr>
            <w:tcW w:w="1670" w:type="dxa"/>
            <w:tcBorders>
              <w:top w:val="single" w:sz="4" w:space="0" w:color="auto"/>
            </w:tcBorders>
            <w:shd w:val="clear" w:color="auto" w:fill="auto"/>
          </w:tcPr>
          <w:p w:rsidR="00CE367A" w:rsidRPr="00522D47" w:rsidRDefault="006420C8" w:rsidP="006420C8">
            <w:pPr>
              <w:spacing w:afterLines="60" w:after="144" w:line="240" w:lineRule="auto"/>
              <w:jc w:val="right"/>
              <w:rPr>
                <w:rFonts w:cstheme="minorHAnsi"/>
                <w:szCs w:val="22"/>
              </w:rPr>
            </w:pPr>
            <w:r w:rsidRPr="00522D47">
              <w:rPr>
                <w:rFonts w:cstheme="minorHAnsi"/>
                <w:szCs w:val="22"/>
              </w:rPr>
              <w:t>5</w:t>
            </w:r>
            <w:r w:rsidR="00CE367A" w:rsidRPr="00522D47">
              <w:rPr>
                <w:rFonts w:cstheme="minorHAnsi"/>
                <w:szCs w:val="22"/>
              </w:rPr>
              <w:t>,</w:t>
            </w:r>
            <w:r w:rsidRPr="00522D47">
              <w:rPr>
                <w:rFonts w:cstheme="minorHAnsi"/>
                <w:szCs w:val="22"/>
              </w:rPr>
              <w:t>513</w:t>
            </w:r>
          </w:p>
        </w:tc>
        <w:tc>
          <w:tcPr>
            <w:tcW w:w="1565" w:type="dxa"/>
            <w:tcBorders>
              <w:top w:val="single" w:sz="4" w:space="0" w:color="auto"/>
            </w:tcBorders>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8,875</w:t>
            </w:r>
          </w:p>
        </w:tc>
      </w:tr>
      <w:tr w:rsidR="00CE367A" w:rsidRPr="007A1B78" w:rsidTr="00515B5E">
        <w:tc>
          <w:tcPr>
            <w:tcW w:w="5950" w:type="dxa"/>
            <w:shd w:val="clear" w:color="auto" w:fill="auto"/>
          </w:tcPr>
          <w:p w:rsidR="00CE367A" w:rsidRPr="00522D47" w:rsidRDefault="00CE367A" w:rsidP="00CE367A">
            <w:pPr>
              <w:spacing w:afterLines="60" w:after="144" w:line="240" w:lineRule="auto"/>
              <w:rPr>
                <w:rFonts w:cstheme="minorHAnsi"/>
                <w:sz w:val="24"/>
                <w:szCs w:val="24"/>
              </w:rPr>
            </w:pPr>
            <w:r w:rsidRPr="00522D47">
              <w:rPr>
                <w:rFonts w:cstheme="minorHAnsi"/>
                <w:color w:val="000000"/>
              </w:rPr>
              <w:t>Software</w:t>
            </w:r>
          </w:p>
        </w:tc>
        <w:tc>
          <w:tcPr>
            <w:tcW w:w="1670" w:type="dxa"/>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321,106</w:t>
            </w:r>
          </w:p>
        </w:tc>
        <w:tc>
          <w:tcPr>
            <w:tcW w:w="1565" w:type="dxa"/>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321,106</w:t>
            </w:r>
          </w:p>
        </w:tc>
      </w:tr>
      <w:tr w:rsidR="00CE367A" w:rsidRPr="007A1B78" w:rsidTr="00515B5E">
        <w:tc>
          <w:tcPr>
            <w:tcW w:w="5950" w:type="dxa"/>
            <w:shd w:val="clear" w:color="auto" w:fill="auto"/>
          </w:tcPr>
          <w:p w:rsidR="00CE367A" w:rsidRPr="00522D47" w:rsidRDefault="00CE367A" w:rsidP="00CE367A">
            <w:pPr>
              <w:spacing w:afterLines="60" w:after="144" w:line="240" w:lineRule="auto"/>
              <w:rPr>
                <w:rFonts w:cstheme="minorHAnsi"/>
                <w:sz w:val="24"/>
                <w:szCs w:val="24"/>
              </w:rPr>
            </w:pPr>
            <w:r w:rsidRPr="00522D47">
              <w:rPr>
                <w:rFonts w:cstheme="minorHAnsi"/>
                <w:color w:val="000000"/>
              </w:rPr>
              <w:t>Less Accumulated Depreciation &amp; Impairment</w:t>
            </w:r>
          </w:p>
        </w:tc>
        <w:tc>
          <w:tcPr>
            <w:tcW w:w="1670" w:type="dxa"/>
            <w:tcBorders>
              <w:bottom w:val="single" w:sz="4" w:space="0" w:color="auto"/>
            </w:tcBorders>
            <w:shd w:val="clear" w:color="auto" w:fill="auto"/>
          </w:tcPr>
          <w:p w:rsidR="00CE367A" w:rsidRPr="00522D47" w:rsidRDefault="00CE367A" w:rsidP="006420C8">
            <w:pPr>
              <w:spacing w:afterLines="60" w:after="144" w:line="240" w:lineRule="auto"/>
              <w:jc w:val="right"/>
              <w:rPr>
                <w:rFonts w:cstheme="minorHAnsi"/>
                <w:szCs w:val="22"/>
              </w:rPr>
            </w:pPr>
            <w:r w:rsidRPr="00522D47">
              <w:rPr>
                <w:rFonts w:cstheme="minorHAnsi"/>
                <w:szCs w:val="22"/>
              </w:rPr>
              <w:t>(</w:t>
            </w:r>
            <w:r w:rsidR="006420C8" w:rsidRPr="00522D47">
              <w:rPr>
                <w:rFonts w:cstheme="minorHAnsi"/>
                <w:szCs w:val="22"/>
              </w:rPr>
              <w:t>315,160</w:t>
            </w:r>
            <w:r w:rsidRPr="00522D47">
              <w:rPr>
                <w:rFonts w:cstheme="minorHAnsi"/>
                <w:szCs w:val="22"/>
              </w:rPr>
              <w:t>)</w:t>
            </w:r>
          </w:p>
        </w:tc>
        <w:tc>
          <w:tcPr>
            <w:tcW w:w="1565" w:type="dxa"/>
            <w:tcBorders>
              <w:bottom w:val="single" w:sz="4" w:space="0" w:color="auto"/>
            </w:tcBorders>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(223,907)</w:t>
            </w:r>
          </w:p>
        </w:tc>
      </w:tr>
      <w:tr w:rsidR="00CE367A" w:rsidRPr="007A1B78" w:rsidTr="00832B35">
        <w:tc>
          <w:tcPr>
            <w:tcW w:w="5950" w:type="dxa"/>
            <w:shd w:val="clear" w:color="auto" w:fill="auto"/>
          </w:tcPr>
          <w:p w:rsidR="00CE367A" w:rsidRPr="00522D47" w:rsidRDefault="00CE367A" w:rsidP="00CE367A">
            <w:pPr>
              <w:spacing w:afterLines="60" w:after="144" w:line="240" w:lineRule="auto"/>
              <w:rPr>
                <w:rFonts w:cstheme="minorHAnsi"/>
                <w:sz w:val="24"/>
                <w:szCs w:val="24"/>
              </w:rPr>
            </w:pPr>
          </w:p>
        </w:tc>
        <w:tc>
          <w:tcPr>
            <w:tcW w:w="1670" w:type="dxa"/>
            <w:tcBorders>
              <w:top w:val="single" w:sz="4" w:space="0" w:color="auto"/>
              <w:bottom w:val="single" w:sz="4" w:space="0" w:color="auto"/>
            </w:tcBorders>
            <w:shd w:val="clear" w:color="auto" w:fill="auto"/>
          </w:tcPr>
          <w:p w:rsidR="00CE367A" w:rsidRPr="00522D47" w:rsidRDefault="006420C8" w:rsidP="00CE367A">
            <w:pPr>
              <w:spacing w:afterLines="60" w:after="144" w:line="240" w:lineRule="auto"/>
              <w:jc w:val="right"/>
              <w:rPr>
                <w:rFonts w:cstheme="minorHAnsi"/>
                <w:szCs w:val="22"/>
              </w:rPr>
            </w:pPr>
            <w:r w:rsidRPr="00522D47">
              <w:rPr>
                <w:rFonts w:cstheme="minorHAnsi"/>
                <w:szCs w:val="22"/>
              </w:rPr>
              <w:t>5,947</w:t>
            </w:r>
          </w:p>
        </w:tc>
        <w:tc>
          <w:tcPr>
            <w:tcW w:w="1565" w:type="dxa"/>
            <w:tcBorders>
              <w:top w:val="single" w:sz="4" w:space="0" w:color="auto"/>
              <w:bottom w:val="single" w:sz="4" w:space="0" w:color="auto"/>
            </w:tcBorders>
            <w:shd w:val="clear" w:color="auto" w:fill="auto"/>
          </w:tcPr>
          <w:p w:rsidR="00CE367A" w:rsidRPr="00522D47" w:rsidRDefault="00CE367A" w:rsidP="00CE367A">
            <w:pPr>
              <w:spacing w:afterLines="60" w:after="144" w:line="240" w:lineRule="auto"/>
              <w:jc w:val="right"/>
              <w:rPr>
                <w:rFonts w:cstheme="minorHAnsi"/>
                <w:szCs w:val="22"/>
              </w:rPr>
            </w:pPr>
            <w:r w:rsidRPr="00522D47">
              <w:rPr>
                <w:rFonts w:cstheme="minorHAnsi"/>
                <w:szCs w:val="22"/>
              </w:rPr>
              <w:t>97,199</w:t>
            </w:r>
          </w:p>
        </w:tc>
      </w:tr>
      <w:tr w:rsidR="00CE367A" w:rsidRPr="007A1B78" w:rsidTr="00832B35">
        <w:tc>
          <w:tcPr>
            <w:tcW w:w="5950" w:type="dxa"/>
            <w:shd w:val="clear" w:color="auto" w:fill="auto"/>
          </w:tcPr>
          <w:p w:rsidR="00CE367A" w:rsidRPr="00522D47" w:rsidRDefault="00CE367A" w:rsidP="00CE367A">
            <w:pPr>
              <w:spacing w:afterLines="60" w:after="144" w:line="240" w:lineRule="auto"/>
              <w:rPr>
                <w:rFonts w:cstheme="minorHAnsi"/>
                <w:b/>
                <w:sz w:val="24"/>
                <w:szCs w:val="24"/>
              </w:rPr>
            </w:pPr>
            <w:r w:rsidRPr="00522D47">
              <w:rPr>
                <w:rFonts w:cstheme="minorHAnsi"/>
                <w:b/>
                <w:color w:val="000000"/>
              </w:rPr>
              <w:t>Total Plant &amp; Equipment</w:t>
            </w:r>
          </w:p>
        </w:tc>
        <w:tc>
          <w:tcPr>
            <w:tcW w:w="1670" w:type="dxa"/>
            <w:tcBorders>
              <w:top w:val="single" w:sz="4" w:space="0" w:color="auto"/>
              <w:bottom w:val="double" w:sz="4" w:space="0" w:color="auto"/>
            </w:tcBorders>
            <w:shd w:val="clear" w:color="auto" w:fill="auto"/>
          </w:tcPr>
          <w:p w:rsidR="00CE367A" w:rsidRPr="00522D47" w:rsidRDefault="006420C8" w:rsidP="00CE367A">
            <w:pPr>
              <w:spacing w:after="60" w:line="240" w:lineRule="auto"/>
              <w:jc w:val="right"/>
              <w:rPr>
                <w:rFonts w:cstheme="minorHAnsi"/>
                <w:szCs w:val="22"/>
              </w:rPr>
            </w:pPr>
            <w:r w:rsidRPr="00522D47">
              <w:rPr>
                <w:rFonts w:cstheme="minorHAnsi"/>
                <w:szCs w:val="22"/>
              </w:rPr>
              <w:t>24,169</w:t>
            </w:r>
          </w:p>
        </w:tc>
        <w:tc>
          <w:tcPr>
            <w:tcW w:w="1565" w:type="dxa"/>
            <w:tcBorders>
              <w:top w:val="single" w:sz="4" w:space="0" w:color="auto"/>
              <w:bottom w:val="double" w:sz="4" w:space="0" w:color="auto"/>
            </w:tcBorders>
            <w:shd w:val="clear" w:color="auto" w:fill="auto"/>
          </w:tcPr>
          <w:p w:rsidR="00CE367A" w:rsidRPr="00522D47" w:rsidRDefault="00CE367A" w:rsidP="00CE367A">
            <w:pPr>
              <w:spacing w:after="60" w:line="240" w:lineRule="auto"/>
              <w:jc w:val="right"/>
              <w:rPr>
                <w:rFonts w:cstheme="minorHAnsi"/>
                <w:szCs w:val="22"/>
              </w:rPr>
            </w:pPr>
            <w:r w:rsidRPr="00522D47">
              <w:rPr>
                <w:rFonts w:cstheme="minorHAnsi"/>
                <w:szCs w:val="22"/>
              </w:rPr>
              <w:t>121,621</w:t>
            </w:r>
          </w:p>
        </w:tc>
      </w:tr>
    </w:tbl>
    <w:p w:rsidR="00D2400B" w:rsidRPr="006D2D33" w:rsidRDefault="00D2400B" w:rsidP="006D2D33">
      <w:pPr>
        <w:widowControl w:val="0"/>
        <w:tabs>
          <w:tab w:val="left" w:pos="1176"/>
          <w:tab w:val="left" w:pos="1729"/>
        </w:tabs>
        <w:autoSpaceDE w:val="0"/>
        <w:autoSpaceDN w:val="0"/>
        <w:adjustRightInd w:val="0"/>
        <w:spacing w:before="240" w:after="0" w:line="240" w:lineRule="auto"/>
        <w:rPr>
          <w:rFonts w:cstheme="minorHAnsi"/>
          <w:szCs w:val="22"/>
          <w:highlight w:val="yellow"/>
        </w:rPr>
      </w:pPr>
    </w:p>
    <w:tbl>
      <w:tblPr>
        <w:tblStyle w:val="TableGrid"/>
        <w:tblW w:w="9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Description w:val="trade and other payables"/>
      </w:tblPr>
      <w:tblGrid>
        <w:gridCol w:w="5893"/>
        <w:gridCol w:w="1701"/>
        <w:gridCol w:w="474"/>
        <w:gridCol w:w="55"/>
        <w:gridCol w:w="1030"/>
        <w:gridCol w:w="32"/>
        <w:gridCol w:w="99"/>
      </w:tblGrid>
      <w:tr w:rsidR="00D2400B" w:rsidRPr="00D1145B" w:rsidTr="00B24359">
        <w:trPr>
          <w:gridAfter w:val="2"/>
          <w:wAfter w:w="131" w:type="dxa"/>
          <w:tblHeader/>
          <w:jc w:val="center"/>
        </w:trPr>
        <w:tc>
          <w:tcPr>
            <w:tcW w:w="5893" w:type="dxa"/>
          </w:tcPr>
          <w:p w:rsidR="00D2400B" w:rsidRPr="00F104FF" w:rsidRDefault="00EC6D27" w:rsidP="006D2D33">
            <w:pPr>
              <w:pStyle w:val="Heading2"/>
              <w:spacing w:before="0"/>
              <w:outlineLvl w:val="1"/>
              <w:rPr>
                <w:b w:val="0"/>
                <w:sz w:val="24"/>
                <w:szCs w:val="24"/>
              </w:rPr>
            </w:pPr>
            <w:r>
              <w:rPr>
                <w:b w:val="0"/>
              </w:rPr>
              <w:t>10.</w:t>
            </w:r>
            <w:r w:rsidR="000B4B10">
              <w:rPr>
                <w:b w:val="0"/>
              </w:rPr>
              <w:t xml:space="preserve"> </w:t>
            </w:r>
            <w:r w:rsidR="00D2400B" w:rsidRPr="00F104FF">
              <w:rPr>
                <w:b w:val="0"/>
              </w:rPr>
              <w:t>Trade and Other Payables</w:t>
            </w:r>
          </w:p>
        </w:tc>
        <w:tc>
          <w:tcPr>
            <w:tcW w:w="1701" w:type="dxa"/>
          </w:tcPr>
          <w:p w:rsidR="00D2400B" w:rsidRPr="00D1145B" w:rsidRDefault="00985FF4" w:rsidP="00C20090">
            <w:pPr>
              <w:spacing w:after="0"/>
              <w:jc w:val="right"/>
              <w:rPr>
                <w:rFonts w:cstheme="minorHAnsi"/>
                <w:sz w:val="24"/>
                <w:szCs w:val="24"/>
              </w:rPr>
            </w:pPr>
            <w:r>
              <w:rPr>
                <w:rFonts w:cstheme="minorHAnsi"/>
                <w:b/>
                <w:szCs w:val="24"/>
              </w:rPr>
              <w:t>2015</w:t>
            </w:r>
            <w:r w:rsidR="006D2D33" w:rsidRPr="00182357">
              <w:rPr>
                <w:rFonts w:cstheme="minorHAnsi"/>
                <w:b/>
                <w:szCs w:val="24"/>
              </w:rPr>
              <w:br/>
              <w:t>$</w:t>
            </w:r>
          </w:p>
        </w:tc>
        <w:tc>
          <w:tcPr>
            <w:tcW w:w="1559" w:type="dxa"/>
            <w:gridSpan w:val="3"/>
          </w:tcPr>
          <w:p w:rsidR="00D2400B" w:rsidRPr="00D1145B" w:rsidRDefault="00985FF4" w:rsidP="00C20090">
            <w:pPr>
              <w:spacing w:after="0"/>
              <w:jc w:val="right"/>
              <w:rPr>
                <w:rFonts w:cstheme="minorHAnsi"/>
                <w:sz w:val="24"/>
                <w:szCs w:val="24"/>
              </w:rPr>
            </w:pPr>
            <w:r>
              <w:rPr>
                <w:rFonts w:cstheme="minorHAnsi"/>
                <w:b/>
                <w:szCs w:val="24"/>
              </w:rPr>
              <w:t>2014</w:t>
            </w:r>
            <w:r w:rsidR="006D2D33" w:rsidRPr="00182357">
              <w:rPr>
                <w:rFonts w:cstheme="minorHAnsi"/>
                <w:b/>
                <w:szCs w:val="24"/>
              </w:rPr>
              <w:br/>
              <w:t>$</w:t>
            </w:r>
          </w:p>
        </w:tc>
      </w:tr>
      <w:tr w:rsidR="00CC0E20" w:rsidRPr="00D1145B" w:rsidTr="00B24359">
        <w:trPr>
          <w:gridAfter w:val="1"/>
          <w:wAfter w:w="99" w:type="dxa"/>
          <w:jc w:val="center"/>
        </w:trPr>
        <w:tc>
          <w:tcPr>
            <w:tcW w:w="5893" w:type="dxa"/>
          </w:tcPr>
          <w:p w:rsidR="00CC0E20" w:rsidRPr="0044141E" w:rsidRDefault="00CC0E20" w:rsidP="006D2D33">
            <w:pPr>
              <w:rPr>
                <w:rFonts w:cstheme="minorHAnsi"/>
                <w:b/>
                <w:sz w:val="24"/>
                <w:szCs w:val="24"/>
                <w:highlight w:val="yellow"/>
              </w:rPr>
            </w:pPr>
            <w:r w:rsidRPr="0083231D">
              <w:rPr>
                <w:rFonts w:cstheme="minorHAnsi"/>
                <w:b/>
                <w:color w:val="000000"/>
              </w:rPr>
              <w:t>Current</w:t>
            </w:r>
          </w:p>
        </w:tc>
        <w:tc>
          <w:tcPr>
            <w:tcW w:w="2230" w:type="dxa"/>
            <w:gridSpan w:val="3"/>
          </w:tcPr>
          <w:p w:rsidR="00CC0E20" w:rsidRPr="00182357" w:rsidRDefault="00CC0E20" w:rsidP="00182357">
            <w:pPr>
              <w:jc w:val="right"/>
              <w:rPr>
                <w:rFonts w:cstheme="minorHAnsi"/>
                <w:b/>
                <w:szCs w:val="24"/>
              </w:rPr>
            </w:pPr>
          </w:p>
        </w:tc>
        <w:tc>
          <w:tcPr>
            <w:tcW w:w="1062" w:type="dxa"/>
            <w:gridSpan w:val="2"/>
          </w:tcPr>
          <w:p w:rsidR="00CC0E20" w:rsidRPr="00182357" w:rsidRDefault="00CC0E20" w:rsidP="00182357">
            <w:pPr>
              <w:jc w:val="right"/>
              <w:rPr>
                <w:rFonts w:cstheme="minorHAnsi"/>
                <w:b/>
                <w:szCs w:val="24"/>
              </w:rPr>
            </w:pPr>
          </w:p>
        </w:tc>
      </w:tr>
      <w:tr w:rsidR="00D2400B" w:rsidRPr="00522D47" w:rsidTr="00B24359">
        <w:trPr>
          <w:jc w:val="center"/>
        </w:trPr>
        <w:tc>
          <w:tcPr>
            <w:tcW w:w="5893" w:type="dxa"/>
          </w:tcPr>
          <w:p w:rsidR="00D2400B" w:rsidRPr="00522D47" w:rsidRDefault="00D2400B" w:rsidP="00EC6D27">
            <w:pPr>
              <w:rPr>
                <w:rFonts w:cstheme="minorHAnsi"/>
                <w:sz w:val="24"/>
                <w:szCs w:val="24"/>
              </w:rPr>
            </w:pPr>
            <w:r w:rsidRPr="00522D47">
              <w:rPr>
                <w:rFonts w:cstheme="minorHAnsi"/>
                <w:color w:val="000000"/>
              </w:rPr>
              <w:t>Trade payables</w:t>
            </w:r>
          </w:p>
        </w:tc>
        <w:tc>
          <w:tcPr>
            <w:tcW w:w="2175" w:type="dxa"/>
            <w:gridSpan w:val="2"/>
          </w:tcPr>
          <w:p w:rsidR="00D2400B" w:rsidRPr="00522D47" w:rsidRDefault="00AA60C5" w:rsidP="00B24359">
            <w:pPr>
              <w:ind w:right="421"/>
              <w:jc w:val="right"/>
              <w:rPr>
                <w:rFonts w:cstheme="minorHAnsi"/>
                <w:szCs w:val="22"/>
              </w:rPr>
            </w:pPr>
            <w:r w:rsidRPr="00522D47">
              <w:rPr>
                <w:rFonts w:cstheme="minorHAnsi"/>
                <w:szCs w:val="22"/>
              </w:rPr>
              <w:t>19,578</w:t>
            </w:r>
          </w:p>
        </w:tc>
        <w:tc>
          <w:tcPr>
            <w:tcW w:w="1216" w:type="dxa"/>
            <w:gridSpan w:val="4"/>
          </w:tcPr>
          <w:p w:rsidR="00D2400B" w:rsidRPr="00522D47" w:rsidRDefault="00CE367A" w:rsidP="00B24359">
            <w:pPr>
              <w:jc w:val="right"/>
              <w:rPr>
                <w:rFonts w:cstheme="minorHAnsi"/>
                <w:sz w:val="24"/>
                <w:szCs w:val="24"/>
              </w:rPr>
            </w:pPr>
            <w:r w:rsidRPr="00522D47">
              <w:rPr>
                <w:rFonts w:cstheme="minorHAnsi"/>
                <w:szCs w:val="22"/>
              </w:rPr>
              <w:t>8,790</w:t>
            </w:r>
          </w:p>
        </w:tc>
      </w:tr>
      <w:tr w:rsidR="00D1145B" w:rsidRPr="00522D47" w:rsidTr="00B24359">
        <w:trPr>
          <w:jc w:val="center"/>
        </w:trPr>
        <w:tc>
          <w:tcPr>
            <w:tcW w:w="5893" w:type="dxa"/>
          </w:tcPr>
          <w:p w:rsidR="00D2400B" w:rsidRPr="00522D47" w:rsidRDefault="00D2400B" w:rsidP="00EC6D27">
            <w:pPr>
              <w:rPr>
                <w:rFonts w:cstheme="minorHAnsi"/>
                <w:sz w:val="24"/>
                <w:szCs w:val="24"/>
              </w:rPr>
            </w:pPr>
            <w:r w:rsidRPr="00522D47">
              <w:rPr>
                <w:rFonts w:cstheme="minorHAnsi"/>
                <w:color w:val="000000"/>
              </w:rPr>
              <w:t>Other payables</w:t>
            </w:r>
          </w:p>
        </w:tc>
        <w:tc>
          <w:tcPr>
            <w:tcW w:w="2175" w:type="dxa"/>
            <w:gridSpan w:val="2"/>
            <w:tcBorders>
              <w:bottom w:val="single" w:sz="4" w:space="0" w:color="auto"/>
            </w:tcBorders>
          </w:tcPr>
          <w:p w:rsidR="00D2400B" w:rsidRPr="00522D47" w:rsidRDefault="00AA60C5" w:rsidP="00B24359">
            <w:pPr>
              <w:ind w:right="421"/>
              <w:jc w:val="right"/>
              <w:rPr>
                <w:rFonts w:cstheme="minorHAnsi"/>
                <w:szCs w:val="22"/>
              </w:rPr>
            </w:pPr>
            <w:r w:rsidRPr="00522D47">
              <w:rPr>
                <w:rFonts w:cstheme="minorHAnsi"/>
                <w:szCs w:val="22"/>
              </w:rPr>
              <w:t>123,575</w:t>
            </w:r>
          </w:p>
        </w:tc>
        <w:tc>
          <w:tcPr>
            <w:tcW w:w="1216" w:type="dxa"/>
            <w:gridSpan w:val="4"/>
            <w:tcBorders>
              <w:bottom w:val="single" w:sz="4" w:space="0" w:color="auto"/>
            </w:tcBorders>
          </w:tcPr>
          <w:p w:rsidR="00D2400B" w:rsidRPr="00522D47" w:rsidRDefault="00CE367A" w:rsidP="00F44692">
            <w:pPr>
              <w:jc w:val="right"/>
              <w:rPr>
                <w:rFonts w:cstheme="minorHAnsi"/>
                <w:sz w:val="24"/>
                <w:szCs w:val="24"/>
              </w:rPr>
            </w:pPr>
            <w:r w:rsidRPr="00522D47">
              <w:rPr>
                <w:rFonts w:cstheme="minorHAnsi"/>
                <w:szCs w:val="22"/>
              </w:rPr>
              <w:t>99,623</w:t>
            </w:r>
          </w:p>
        </w:tc>
      </w:tr>
      <w:tr w:rsidR="00D1145B" w:rsidRPr="00D1145B" w:rsidTr="00B24359">
        <w:trPr>
          <w:jc w:val="center"/>
        </w:trPr>
        <w:tc>
          <w:tcPr>
            <w:tcW w:w="5893" w:type="dxa"/>
          </w:tcPr>
          <w:p w:rsidR="00D2400B" w:rsidRPr="00522D47" w:rsidRDefault="00D2400B" w:rsidP="00EC6D27">
            <w:pPr>
              <w:rPr>
                <w:rFonts w:cstheme="minorHAnsi"/>
                <w:sz w:val="24"/>
                <w:szCs w:val="24"/>
              </w:rPr>
            </w:pPr>
            <w:r w:rsidRPr="00522D47">
              <w:rPr>
                <w:rFonts w:cstheme="minorHAnsi"/>
                <w:b/>
                <w:bCs/>
                <w:color w:val="000000"/>
              </w:rPr>
              <w:t>Total Trade and Other Payables</w:t>
            </w:r>
          </w:p>
        </w:tc>
        <w:tc>
          <w:tcPr>
            <w:tcW w:w="2175" w:type="dxa"/>
            <w:gridSpan w:val="2"/>
            <w:tcBorders>
              <w:top w:val="single" w:sz="4" w:space="0" w:color="auto"/>
              <w:bottom w:val="double" w:sz="4" w:space="0" w:color="auto"/>
            </w:tcBorders>
          </w:tcPr>
          <w:p w:rsidR="00D2400B" w:rsidRPr="00522D47" w:rsidRDefault="00AA60C5" w:rsidP="00B24359">
            <w:pPr>
              <w:spacing w:after="60"/>
              <w:ind w:right="421"/>
              <w:jc w:val="right"/>
              <w:rPr>
                <w:rFonts w:cstheme="minorHAnsi"/>
                <w:szCs w:val="22"/>
              </w:rPr>
            </w:pPr>
            <w:r w:rsidRPr="00522D47">
              <w:rPr>
                <w:rFonts w:cstheme="minorHAnsi"/>
                <w:szCs w:val="22"/>
              </w:rPr>
              <w:t>143,152</w:t>
            </w:r>
          </w:p>
        </w:tc>
        <w:tc>
          <w:tcPr>
            <w:tcW w:w="1216" w:type="dxa"/>
            <w:gridSpan w:val="4"/>
            <w:tcBorders>
              <w:top w:val="single" w:sz="4" w:space="0" w:color="auto"/>
              <w:bottom w:val="double" w:sz="4" w:space="0" w:color="auto"/>
            </w:tcBorders>
          </w:tcPr>
          <w:p w:rsidR="00D2400B" w:rsidRPr="00522D47" w:rsidRDefault="00CE367A" w:rsidP="00B24359">
            <w:pPr>
              <w:spacing w:after="60"/>
              <w:jc w:val="right"/>
              <w:rPr>
                <w:rFonts w:cstheme="minorHAnsi"/>
                <w:sz w:val="24"/>
                <w:szCs w:val="24"/>
              </w:rPr>
            </w:pPr>
            <w:r w:rsidRPr="00522D47">
              <w:rPr>
                <w:rFonts w:cstheme="minorHAnsi"/>
                <w:szCs w:val="22"/>
              </w:rPr>
              <w:t>108,413</w:t>
            </w:r>
          </w:p>
        </w:tc>
      </w:tr>
    </w:tbl>
    <w:p w:rsidR="006D2D33" w:rsidRDefault="006D2D33" w:rsidP="000C0AED">
      <w:pPr>
        <w:widowControl w:val="0"/>
        <w:autoSpaceDE w:val="0"/>
        <w:autoSpaceDN w:val="0"/>
        <w:adjustRightInd w:val="0"/>
        <w:spacing w:before="2520" w:after="0" w:line="240" w:lineRule="auto"/>
        <w:ind w:left="1729" w:right="1174"/>
        <w:jc w:val="center"/>
        <w:rPr>
          <w:rFonts w:cstheme="minorHAnsi"/>
          <w:color w:val="000000"/>
        </w:rPr>
      </w:pPr>
      <w:r w:rsidRPr="00105329">
        <w:rPr>
          <w:rFonts w:cstheme="minorHAnsi"/>
          <w:i/>
          <w:iCs/>
          <w:color w:val="000000"/>
          <w:szCs w:val="16"/>
        </w:rPr>
        <w:t>These notes form part of the financial statements</w:t>
      </w:r>
      <w:r>
        <w:rPr>
          <w:rFonts w:cstheme="minorHAnsi"/>
          <w:color w:val="000000"/>
        </w:rPr>
        <w:br w:type="page"/>
      </w:r>
    </w:p>
    <w:p w:rsidR="006D2D33" w:rsidRPr="00E171F7" w:rsidRDefault="006D2D33" w:rsidP="006D2D33">
      <w:pPr>
        <w:rPr>
          <w:sz w:val="48"/>
        </w:rPr>
      </w:pPr>
      <w:r w:rsidRPr="00E171F7">
        <w:rPr>
          <w:sz w:val="48"/>
        </w:rPr>
        <w:lastRenderedPageBreak/>
        <w:t>Notes to the Financial Statements</w:t>
      </w:r>
    </w:p>
    <w:p w:rsidR="006D2D33" w:rsidRPr="006D2D33" w:rsidRDefault="000C0AED" w:rsidP="006D2D33">
      <w:pPr>
        <w:rPr>
          <w:b/>
          <w:sz w:val="24"/>
          <w:szCs w:val="24"/>
        </w:rPr>
      </w:pPr>
      <w:r>
        <w:rPr>
          <w:b/>
        </w:rPr>
        <w:t xml:space="preserve">For the Year ended 30 June </w:t>
      </w:r>
      <w:r w:rsidR="00985FF4">
        <w:rPr>
          <w:b/>
        </w:rPr>
        <w:t>2015</w:t>
      </w:r>
    </w:p>
    <w:tbl>
      <w:tblPr>
        <w:tblStyle w:val="TableGrid"/>
        <w:tblW w:w="9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Description w:val="trade and other payables"/>
      </w:tblPr>
      <w:tblGrid>
        <w:gridCol w:w="5848"/>
        <w:gridCol w:w="1559"/>
        <w:gridCol w:w="1689"/>
      </w:tblGrid>
      <w:tr w:rsidR="006D2D33" w:rsidRPr="00D1145B" w:rsidTr="005A5C48">
        <w:trPr>
          <w:tblHeader/>
          <w:jc w:val="center"/>
        </w:trPr>
        <w:tc>
          <w:tcPr>
            <w:tcW w:w="5848" w:type="dxa"/>
          </w:tcPr>
          <w:p w:rsidR="006D2D33" w:rsidRPr="00F104FF" w:rsidRDefault="006D2D33" w:rsidP="006D2D33">
            <w:pPr>
              <w:pStyle w:val="Heading2"/>
              <w:spacing w:before="0"/>
              <w:outlineLvl w:val="1"/>
              <w:rPr>
                <w:b w:val="0"/>
                <w:sz w:val="24"/>
                <w:szCs w:val="24"/>
              </w:rPr>
            </w:pPr>
            <w:r>
              <w:rPr>
                <w:b w:val="0"/>
              </w:rPr>
              <w:t>11.</w:t>
            </w:r>
            <w:r w:rsidR="000B4B10">
              <w:rPr>
                <w:b w:val="0"/>
              </w:rPr>
              <w:t xml:space="preserve"> </w:t>
            </w:r>
            <w:r>
              <w:rPr>
                <w:b w:val="0"/>
              </w:rPr>
              <w:t>Provisions</w:t>
            </w:r>
          </w:p>
        </w:tc>
        <w:tc>
          <w:tcPr>
            <w:tcW w:w="1559" w:type="dxa"/>
          </w:tcPr>
          <w:p w:rsidR="006D2D33" w:rsidRPr="00D1145B" w:rsidRDefault="00985FF4" w:rsidP="006D2D33">
            <w:pPr>
              <w:spacing w:after="0"/>
              <w:jc w:val="right"/>
              <w:rPr>
                <w:rFonts w:cstheme="minorHAnsi"/>
                <w:sz w:val="24"/>
                <w:szCs w:val="24"/>
              </w:rPr>
            </w:pPr>
            <w:r>
              <w:rPr>
                <w:rFonts w:cstheme="minorHAnsi"/>
                <w:b/>
                <w:szCs w:val="24"/>
              </w:rPr>
              <w:t>2015</w:t>
            </w:r>
            <w:r w:rsidR="006D2D33" w:rsidRPr="00182357">
              <w:rPr>
                <w:rFonts w:cstheme="minorHAnsi"/>
                <w:b/>
                <w:szCs w:val="24"/>
              </w:rPr>
              <w:br/>
              <w:t>$</w:t>
            </w:r>
          </w:p>
        </w:tc>
        <w:tc>
          <w:tcPr>
            <w:tcW w:w="1689" w:type="dxa"/>
          </w:tcPr>
          <w:p w:rsidR="006D2D33" w:rsidRPr="00D1145B" w:rsidRDefault="00985FF4" w:rsidP="000C0AED">
            <w:pPr>
              <w:spacing w:after="0"/>
              <w:jc w:val="right"/>
              <w:rPr>
                <w:rFonts w:cstheme="minorHAnsi"/>
                <w:sz w:val="24"/>
                <w:szCs w:val="24"/>
              </w:rPr>
            </w:pPr>
            <w:r>
              <w:rPr>
                <w:rFonts w:cstheme="minorHAnsi"/>
                <w:b/>
                <w:szCs w:val="24"/>
              </w:rPr>
              <w:t>2014</w:t>
            </w:r>
            <w:r w:rsidR="006D2D33" w:rsidRPr="00182357">
              <w:rPr>
                <w:rFonts w:cstheme="minorHAnsi"/>
                <w:b/>
                <w:szCs w:val="24"/>
              </w:rPr>
              <w:br/>
              <w:t>$</w:t>
            </w:r>
          </w:p>
        </w:tc>
      </w:tr>
      <w:tr w:rsidR="006D2D33" w:rsidRPr="00522D47" w:rsidTr="005A5C48">
        <w:trPr>
          <w:jc w:val="center"/>
        </w:trPr>
        <w:tc>
          <w:tcPr>
            <w:tcW w:w="5848" w:type="dxa"/>
          </w:tcPr>
          <w:p w:rsidR="006D2D33" w:rsidRPr="00522D47" w:rsidRDefault="006D2D33" w:rsidP="00515B5E">
            <w:pPr>
              <w:rPr>
                <w:rFonts w:cstheme="minorHAnsi"/>
                <w:b/>
                <w:sz w:val="24"/>
                <w:szCs w:val="24"/>
              </w:rPr>
            </w:pPr>
            <w:r w:rsidRPr="00522D47">
              <w:rPr>
                <w:rFonts w:cstheme="minorHAnsi"/>
                <w:b/>
                <w:color w:val="000000"/>
              </w:rPr>
              <w:t>Current</w:t>
            </w:r>
          </w:p>
        </w:tc>
        <w:tc>
          <w:tcPr>
            <w:tcW w:w="1559" w:type="dxa"/>
          </w:tcPr>
          <w:p w:rsidR="006D2D33" w:rsidRPr="00522D47" w:rsidRDefault="006D2D33" w:rsidP="00515B5E">
            <w:pPr>
              <w:jc w:val="right"/>
              <w:rPr>
                <w:rFonts w:cstheme="minorHAnsi"/>
                <w:b/>
                <w:szCs w:val="24"/>
              </w:rPr>
            </w:pPr>
          </w:p>
        </w:tc>
        <w:tc>
          <w:tcPr>
            <w:tcW w:w="1689" w:type="dxa"/>
          </w:tcPr>
          <w:p w:rsidR="006D2D33" w:rsidRPr="00522D47" w:rsidRDefault="006D2D33" w:rsidP="00515B5E">
            <w:pPr>
              <w:jc w:val="right"/>
              <w:rPr>
                <w:rFonts w:cstheme="minorHAnsi"/>
                <w:b/>
                <w:szCs w:val="24"/>
              </w:rPr>
            </w:pPr>
          </w:p>
        </w:tc>
      </w:tr>
      <w:tr w:rsidR="0033488A" w:rsidRPr="00522D47" w:rsidTr="005A5C48">
        <w:trPr>
          <w:jc w:val="center"/>
        </w:trPr>
        <w:tc>
          <w:tcPr>
            <w:tcW w:w="5848" w:type="dxa"/>
          </w:tcPr>
          <w:p w:rsidR="0033488A" w:rsidRPr="00522D47" w:rsidRDefault="0033488A" w:rsidP="00EC6D27">
            <w:pPr>
              <w:ind w:left="52" w:hanging="52"/>
              <w:rPr>
                <w:sz w:val="24"/>
                <w:szCs w:val="24"/>
              </w:rPr>
            </w:pPr>
            <w:r w:rsidRPr="00522D47">
              <w:t>Liability for annual leave</w:t>
            </w:r>
          </w:p>
        </w:tc>
        <w:tc>
          <w:tcPr>
            <w:tcW w:w="1559" w:type="dxa"/>
          </w:tcPr>
          <w:p w:rsidR="0033488A" w:rsidRPr="00522D47" w:rsidRDefault="0033488A" w:rsidP="00D87FE9">
            <w:pPr>
              <w:ind w:left="-108" w:right="-108"/>
              <w:jc w:val="right"/>
              <w:rPr>
                <w:szCs w:val="22"/>
              </w:rPr>
            </w:pPr>
            <w:r w:rsidRPr="00522D47">
              <w:rPr>
                <w:szCs w:val="22"/>
              </w:rPr>
              <w:t>6</w:t>
            </w:r>
            <w:r w:rsidR="00D87FE9" w:rsidRPr="00522D47">
              <w:rPr>
                <w:szCs w:val="22"/>
              </w:rPr>
              <w:t>6</w:t>
            </w:r>
            <w:r w:rsidRPr="00522D47">
              <w:rPr>
                <w:szCs w:val="22"/>
              </w:rPr>
              <w:t>,4</w:t>
            </w:r>
            <w:r w:rsidR="00D87FE9" w:rsidRPr="00522D47">
              <w:rPr>
                <w:szCs w:val="22"/>
              </w:rPr>
              <w:t>70</w:t>
            </w:r>
          </w:p>
        </w:tc>
        <w:tc>
          <w:tcPr>
            <w:tcW w:w="1689" w:type="dxa"/>
          </w:tcPr>
          <w:p w:rsidR="0033488A" w:rsidRPr="00522D47" w:rsidRDefault="0033488A" w:rsidP="0033488A">
            <w:pPr>
              <w:ind w:left="-108" w:right="-108"/>
              <w:jc w:val="right"/>
              <w:rPr>
                <w:szCs w:val="22"/>
              </w:rPr>
            </w:pPr>
            <w:r w:rsidRPr="00522D47">
              <w:rPr>
                <w:szCs w:val="22"/>
              </w:rPr>
              <w:t>60,494</w:t>
            </w:r>
          </w:p>
        </w:tc>
      </w:tr>
      <w:tr w:rsidR="0033488A" w:rsidRPr="00522D47" w:rsidTr="005A5C48">
        <w:trPr>
          <w:jc w:val="center"/>
        </w:trPr>
        <w:tc>
          <w:tcPr>
            <w:tcW w:w="5848" w:type="dxa"/>
          </w:tcPr>
          <w:p w:rsidR="0033488A" w:rsidRPr="00522D47" w:rsidRDefault="0033488A" w:rsidP="00EC6D27">
            <w:pPr>
              <w:spacing w:line="240" w:lineRule="auto"/>
              <w:ind w:left="-13" w:firstLine="13"/>
              <w:rPr>
                <w:sz w:val="24"/>
                <w:szCs w:val="24"/>
              </w:rPr>
            </w:pPr>
            <w:r w:rsidRPr="00522D47">
              <w:rPr>
                <w:b/>
              </w:rPr>
              <w:t>Non-current</w:t>
            </w:r>
            <w:r w:rsidRPr="00522D47">
              <w:br/>
              <w:t>Provision for Long Service Leave</w:t>
            </w:r>
          </w:p>
        </w:tc>
        <w:tc>
          <w:tcPr>
            <w:tcW w:w="1559" w:type="dxa"/>
            <w:tcBorders>
              <w:bottom w:val="single" w:sz="2" w:space="0" w:color="auto"/>
            </w:tcBorders>
            <w:vAlign w:val="bottom"/>
          </w:tcPr>
          <w:p w:rsidR="0033488A" w:rsidRPr="00522D47" w:rsidRDefault="00D87FE9" w:rsidP="009046C9">
            <w:pPr>
              <w:spacing w:line="240" w:lineRule="auto"/>
              <w:ind w:left="-108" w:right="-108"/>
              <w:jc w:val="right"/>
              <w:rPr>
                <w:szCs w:val="22"/>
              </w:rPr>
            </w:pPr>
            <w:r w:rsidRPr="00522D47">
              <w:rPr>
                <w:szCs w:val="22"/>
              </w:rPr>
              <w:t>105,194</w:t>
            </w:r>
          </w:p>
        </w:tc>
        <w:tc>
          <w:tcPr>
            <w:tcW w:w="1689" w:type="dxa"/>
            <w:tcBorders>
              <w:bottom w:val="single" w:sz="2" w:space="0" w:color="auto"/>
            </w:tcBorders>
            <w:vAlign w:val="bottom"/>
          </w:tcPr>
          <w:p w:rsidR="0033488A" w:rsidRPr="00522D47" w:rsidRDefault="0033488A" w:rsidP="0033488A">
            <w:pPr>
              <w:spacing w:line="240" w:lineRule="auto"/>
              <w:ind w:left="-108" w:right="-108"/>
              <w:jc w:val="right"/>
              <w:rPr>
                <w:szCs w:val="22"/>
              </w:rPr>
            </w:pPr>
            <w:r w:rsidRPr="00522D47">
              <w:rPr>
                <w:szCs w:val="22"/>
              </w:rPr>
              <w:t>89,953</w:t>
            </w:r>
          </w:p>
        </w:tc>
      </w:tr>
      <w:tr w:rsidR="0033488A" w:rsidRPr="00160D69" w:rsidTr="005A5C48">
        <w:trPr>
          <w:trHeight w:val="218"/>
          <w:jc w:val="center"/>
        </w:trPr>
        <w:tc>
          <w:tcPr>
            <w:tcW w:w="5848" w:type="dxa"/>
          </w:tcPr>
          <w:p w:rsidR="0033488A" w:rsidRPr="00522D47" w:rsidRDefault="0033488A" w:rsidP="00EC6D27">
            <w:pPr>
              <w:ind w:left="-13" w:firstLine="13"/>
              <w:rPr>
                <w:b/>
                <w:sz w:val="24"/>
                <w:szCs w:val="24"/>
              </w:rPr>
            </w:pPr>
            <w:r w:rsidRPr="00522D47">
              <w:rPr>
                <w:b/>
              </w:rPr>
              <w:t>Total Provisions</w:t>
            </w:r>
          </w:p>
        </w:tc>
        <w:tc>
          <w:tcPr>
            <w:tcW w:w="1559" w:type="dxa"/>
            <w:tcBorders>
              <w:top w:val="single" w:sz="2" w:space="0" w:color="auto"/>
              <w:bottom w:val="double" w:sz="4" w:space="0" w:color="auto"/>
            </w:tcBorders>
          </w:tcPr>
          <w:p w:rsidR="0033488A" w:rsidRPr="00522D47" w:rsidRDefault="0033488A" w:rsidP="00D87FE9">
            <w:pPr>
              <w:spacing w:after="60"/>
              <w:ind w:left="-108" w:right="-108"/>
              <w:jc w:val="right"/>
              <w:rPr>
                <w:szCs w:val="22"/>
              </w:rPr>
            </w:pPr>
            <w:r w:rsidRPr="00522D47">
              <w:rPr>
                <w:szCs w:val="22"/>
              </w:rPr>
              <w:t>1</w:t>
            </w:r>
            <w:r w:rsidR="00D87FE9" w:rsidRPr="00522D47">
              <w:rPr>
                <w:szCs w:val="22"/>
              </w:rPr>
              <w:t>71,664</w:t>
            </w:r>
          </w:p>
        </w:tc>
        <w:tc>
          <w:tcPr>
            <w:tcW w:w="1689" w:type="dxa"/>
            <w:tcBorders>
              <w:top w:val="single" w:sz="2" w:space="0" w:color="auto"/>
              <w:bottom w:val="double" w:sz="4" w:space="0" w:color="auto"/>
            </w:tcBorders>
          </w:tcPr>
          <w:p w:rsidR="0033488A" w:rsidRPr="00522D47" w:rsidRDefault="0033488A" w:rsidP="0033488A">
            <w:pPr>
              <w:spacing w:after="60"/>
              <w:ind w:left="-108" w:right="-108"/>
              <w:jc w:val="right"/>
              <w:rPr>
                <w:szCs w:val="22"/>
              </w:rPr>
            </w:pPr>
            <w:r w:rsidRPr="00522D47">
              <w:rPr>
                <w:szCs w:val="22"/>
              </w:rPr>
              <w:t>150,447</w:t>
            </w:r>
          </w:p>
        </w:tc>
      </w:tr>
    </w:tbl>
    <w:p w:rsidR="00D2400B" w:rsidRPr="00771824" w:rsidRDefault="00D2400B" w:rsidP="000C5471">
      <w:pPr>
        <w:spacing w:before="240"/>
        <w:rPr>
          <w:b/>
        </w:rPr>
      </w:pPr>
      <w:r w:rsidRPr="00771824">
        <w:rPr>
          <w:b/>
        </w:rPr>
        <w:t>Provision for Long-term Employee Benefits</w:t>
      </w:r>
    </w:p>
    <w:p w:rsidR="00D2400B" w:rsidRDefault="00D2400B" w:rsidP="000C5471">
      <w:r>
        <w:t>A provision has been recognis</w:t>
      </w:r>
      <w:r w:rsidRPr="00D916BE">
        <w:t>ed for employee entitlements relating to long service leave</w:t>
      </w:r>
      <w:r>
        <w:t xml:space="preserve">. </w:t>
      </w:r>
      <w:r w:rsidRPr="00D916BE">
        <w:t>The measurement and recognition criteria relating to employee benefits have been included in Note 1 to this report.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apital redemption reserves"/>
      </w:tblPr>
      <w:tblGrid>
        <w:gridCol w:w="5910"/>
        <w:gridCol w:w="1539"/>
        <w:gridCol w:w="1605"/>
      </w:tblGrid>
      <w:tr w:rsidR="0078384F" w:rsidRPr="0078384F" w:rsidTr="00DB3DFE">
        <w:trPr>
          <w:cnfStyle w:val="100000000000" w:firstRow="1" w:lastRow="0" w:firstColumn="0" w:lastColumn="0" w:oddVBand="0" w:evenVBand="0" w:oddHBand="0" w:evenHBand="0" w:firstRowFirstColumn="0" w:firstRowLastColumn="0" w:lastRowFirstColumn="0" w:lastRowLastColumn="0"/>
          <w:tblHeader/>
          <w:jc w:val="center"/>
        </w:trPr>
        <w:tc>
          <w:tcPr>
            <w:tcW w:w="5910" w:type="dxa"/>
          </w:tcPr>
          <w:p w:rsidR="0078384F" w:rsidRPr="00522D47" w:rsidRDefault="00EC6D27" w:rsidP="00EC6D27">
            <w:pPr>
              <w:pStyle w:val="Heading2"/>
              <w:outlineLvl w:val="1"/>
              <w:rPr>
                <w:rFonts w:ascii="Times New Roman" w:hAnsi="Times New Roman"/>
                <w:sz w:val="24"/>
                <w:szCs w:val="24"/>
              </w:rPr>
            </w:pPr>
            <w:r w:rsidRPr="00522D47">
              <w:t>12.</w:t>
            </w:r>
            <w:r w:rsidR="000B4B10" w:rsidRPr="00522D47">
              <w:t xml:space="preserve"> </w:t>
            </w:r>
            <w:r w:rsidR="0078384F" w:rsidRPr="00522D47">
              <w:t>Reserves</w:t>
            </w:r>
          </w:p>
        </w:tc>
        <w:tc>
          <w:tcPr>
            <w:tcW w:w="1539" w:type="dxa"/>
          </w:tcPr>
          <w:p w:rsidR="0078384F" w:rsidRPr="00522D47" w:rsidRDefault="00985FF4" w:rsidP="000C0AED">
            <w:pPr>
              <w:jc w:val="right"/>
              <w:rPr>
                <w:rFonts w:cstheme="minorHAnsi"/>
                <w:szCs w:val="24"/>
              </w:rPr>
            </w:pPr>
            <w:r w:rsidRPr="00522D47">
              <w:rPr>
                <w:rFonts w:cstheme="minorHAnsi"/>
                <w:szCs w:val="24"/>
              </w:rPr>
              <w:t>2015</w:t>
            </w:r>
            <w:r w:rsidR="0078384F" w:rsidRPr="00522D47">
              <w:rPr>
                <w:rFonts w:cstheme="minorHAnsi"/>
                <w:szCs w:val="24"/>
              </w:rPr>
              <w:br/>
              <w:t>$</w:t>
            </w:r>
          </w:p>
        </w:tc>
        <w:tc>
          <w:tcPr>
            <w:tcW w:w="1605" w:type="dxa"/>
          </w:tcPr>
          <w:p w:rsidR="0078384F" w:rsidRPr="00522D47" w:rsidRDefault="00985FF4" w:rsidP="000C0AED">
            <w:pPr>
              <w:jc w:val="right"/>
              <w:rPr>
                <w:rFonts w:cstheme="minorHAnsi"/>
                <w:szCs w:val="24"/>
              </w:rPr>
            </w:pPr>
            <w:r w:rsidRPr="00522D47">
              <w:rPr>
                <w:rFonts w:cstheme="minorHAnsi"/>
                <w:szCs w:val="24"/>
              </w:rPr>
              <w:t>2014</w:t>
            </w:r>
            <w:r w:rsidR="0078384F" w:rsidRPr="00522D47">
              <w:rPr>
                <w:rFonts w:cstheme="minorHAnsi"/>
                <w:szCs w:val="24"/>
              </w:rPr>
              <w:br/>
              <w:t>$</w:t>
            </w:r>
          </w:p>
        </w:tc>
      </w:tr>
      <w:tr w:rsidR="0078384F" w:rsidRPr="00160D69" w:rsidTr="00DB3DFE">
        <w:trPr>
          <w:jc w:val="center"/>
        </w:trPr>
        <w:tc>
          <w:tcPr>
            <w:tcW w:w="5910" w:type="dxa"/>
          </w:tcPr>
          <w:p w:rsidR="0078384F" w:rsidRPr="00522D47" w:rsidRDefault="0078384F" w:rsidP="000C5471">
            <w:pPr>
              <w:rPr>
                <w:rFonts w:cstheme="minorHAnsi"/>
                <w:color w:val="000000"/>
              </w:rPr>
            </w:pPr>
            <w:r w:rsidRPr="00522D47">
              <w:rPr>
                <w:rFonts w:cstheme="minorHAnsi"/>
                <w:color w:val="000000"/>
              </w:rPr>
              <w:t>Capital Redemption Reserve</w:t>
            </w:r>
          </w:p>
        </w:tc>
        <w:tc>
          <w:tcPr>
            <w:tcW w:w="1539" w:type="dxa"/>
            <w:tcBorders>
              <w:bottom w:val="single" w:sz="2" w:space="0" w:color="auto"/>
            </w:tcBorders>
          </w:tcPr>
          <w:p w:rsidR="0078384F" w:rsidRPr="00522D47" w:rsidRDefault="00CA5560" w:rsidP="00DB3DFE">
            <w:pPr>
              <w:jc w:val="right"/>
              <w:rPr>
                <w:rFonts w:cstheme="minorHAnsi"/>
                <w:color w:val="000000"/>
              </w:rPr>
            </w:pPr>
            <w:r w:rsidRPr="00522D47">
              <w:rPr>
                <w:rFonts w:cstheme="minorHAnsi"/>
                <w:color w:val="000000"/>
              </w:rPr>
              <w:t>448,100</w:t>
            </w:r>
          </w:p>
        </w:tc>
        <w:tc>
          <w:tcPr>
            <w:tcW w:w="1605" w:type="dxa"/>
            <w:tcBorders>
              <w:bottom w:val="single" w:sz="2" w:space="0" w:color="auto"/>
            </w:tcBorders>
          </w:tcPr>
          <w:p w:rsidR="0078384F" w:rsidRPr="00522D47" w:rsidRDefault="0078384F" w:rsidP="00DB3DFE">
            <w:pPr>
              <w:jc w:val="right"/>
              <w:rPr>
                <w:rFonts w:cstheme="minorHAnsi"/>
                <w:color w:val="000000"/>
              </w:rPr>
            </w:pPr>
            <w:r w:rsidRPr="00522D47">
              <w:rPr>
                <w:rFonts w:cstheme="minorHAnsi"/>
                <w:color w:val="000000"/>
              </w:rPr>
              <w:t>448,100</w:t>
            </w:r>
          </w:p>
        </w:tc>
      </w:tr>
      <w:tr w:rsidR="0078384F" w:rsidRPr="00160D69" w:rsidTr="00DB3DFE">
        <w:trPr>
          <w:jc w:val="center"/>
        </w:trPr>
        <w:tc>
          <w:tcPr>
            <w:tcW w:w="5910" w:type="dxa"/>
          </w:tcPr>
          <w:p w:rsidR="0078384F" w:rsidRPr="00522D47" w:rsidRDefault="0078384F" w:rsidP="00464410">
            <w:pPr>
              <w:ind w:left="653"/>
              <w:rPr>
                <w:rFonts w:cstheme="minorHAnsi"/>
                <w:color w:val="000000"/>
              </w:rPr>
            </w:pPr>
          </w:p>
        </w:tc>
        <w:tc>
          <w:tcPr>
            <w:tcW w:w="1539" w:type="dxa"/>
            <w:tcBorders>
              <w:top w:val="single" w:sz="2" w:space="0" w:color="auto"/>
              <w:bottom w:val="double" w:sz="4" w:space="0" w:color="auto"/>
            </w:tcBorders>
          </w:tcPr>
          <w:p w:rsidR="0078384F" w:rsidRPr="00522D47" w:rsidRDefault="00CA5560" w:rsidP="00DB3DFE">
            <w:pPr>
              <w:spacing w:after="60"/>
              <w:jc w:val="right"/>
              <w:rPr>
                <w:rFonts w:cstheme="minorHAnsi"/>
                <w:color w:val="000000"/>
              </w:rPr>
            </w:pPr>
            <w:r w:rsidRPr="00522D47">
              <w:rPr>
                <w:rFonts w:cstheme="minorHAnsi"/>
                <w:color w:val="000000"/>
              </w:rPr>
              <w:t>448,100</w:t>
            </w:r>
          </w:p>
        </w:tc>
        <w:tc>
          <w:tcPr>
            <w:tcW w:w="1605" w:type="dxa"/>
            <w:tcBorders>
              <w:top w:val="single" w:sz="2" w:space="0" w:color="auto"/>
              <w:bottom w:val="double" w:sz="4" w:space="0" w:color="auto"/>
            </w:tcBorders>
          </w:tcPr>
          <w:p w:rsidR="0078384F" w:rsidRPr="00522D47" w:rsidRDefault="0078384F" w:rsidP="00DB3DFE">
            <w:pPr>
              <w:spacing w:after="60"/>
              <w:jc w:val="right"/>
              <w:rPr>
                <w:rFonts w:cstheme="minorHAnsi"/>
                <w:color w:val="000000"/>
              </w:rPr>
            </w:pPr>
            <w:r w:rsidRPr="00522D47">
              <w:rPr>
                <w:rFonts w:cstheme="minorHAnsi"/>
                <w:color w:val="000000"/>
              </w:rPr>
              <w:t>448,100</w:t>
            </w:r>
          </w:p>
        </w:tc>
      </w:tr>
    </w:tbl>
    <w:p w:rsidR="00D2400B" w:rsidRPr="00464410" w:rsidRDefault="00D2400B" w:rsidP="000C5471">
      <w:pPr>
        <w:rPr>
          <w:b/>
        </w:rPr>
      </w:pPr>
      <w:r w:rsidRPr="00464410">
        <w:rPr>
          <w:b/>
        </w:rPr>
        <w:t>Capital Redemption Reserve</w:t>
      </w:r>
    </w:p>
    <w:p w:rsidR="00D2400B" w:rsidRPr="00FE72FC" w:rsidRDefault="00D2400B" w:rsidP="000C5471">
      <w:pPr>
        <w:rPr>
          <w:highlight w:val="yellow"/>
        </w:rPr>
      </w:pPr>
      <w:r w:rsidRPr="00FE72FC">
        <w:t>Upon disposal of revalued assets, any related revaluation increment standing to the credit of the</w:t>
      </w:r>
      <w:r w:rsidR="00BE7EB4">
        <w:t xml:space="preserve"> </w:t>
      </w:r>
      <w:r w:rsidRPr="00FE72FC">
        <w:t>asset revaluation reserve is transferred to the capital redemption reserve.</w:t>
      </w:r>
    </w:p>
    <w:p w:rsidR="00D2400B" w:rsidRPr="00A32AC0" w:rsidRDefault="00EC6D27" w:rsidP="00EC6D27">
      <w:pPr>
        <w:pStyle w:val="Heading2"/>
        <w:rPr>
          <w:b w:val="0"/>
        </w:rPr>
      </w:pPr>
      <w:r w:rsidRPr="00A32AC0">
        <w:rPr>
          <w:b w:val="0"/>
        </w:rPr>
        <w:t>13.</w:t>
      </w:r>
      <w:r w:rsidR="000B4B10">
        <w:rPr>
          <w:b w:val="0"/>
        </w:rPr>
        <w:t xml:space="preserve"> </w:t>
      </w:r>
      <w:r w:rsidR="00D2400B" w:rsidRPr="00A32AC0">
        <w:rPr>
          <w:b w:val="0"/>
        </w:rPr>
        <w:t>Members’ Guarantee</w:t>
      </w:r>
    </w:p>
    <w:p w:rsidR="00D2400B" w:rsidRPr="00BE679F" w:rsidRDefault="00D2400B" w:rsidP="000C5471">
      <w:pPr>
        <w:widowControl w:val="0"/>
        <w:tabs>
          <w:tab w:val="left" w:pos="993"/>
        </w:tabs>
        <w:autoSpaceDE w:val="0"/>
        <w:autoSpaceDN w:val="0"/>
        <w:adjustRightInd w:val="0"/>
        <w:spacing w:after="240" w:line="240" w:lineRule="auto"/>
      </w:pPr>
      <w:r w:rsidRPr="00BE679F">
        <w:t xml:space="preserve">The company is limited by guarantee. If the company is wound up, the Constitution states that each member is required to contribute a maximum of $50 each towards meeting any outstanding </w:t>
      </w:r>
      <w:r w:rsidRPr="00A46163">
        <w:t xml:space="preserve">obligations of the Company. At 30 June </w:t>
      </w:r>
      <w:r w:rsidR="00985FF4" w:rsidRPr="00A46163">
        <w:t>2015</w:t>
      </w:r>
      <w:r w:rsidRPr="00A46163">
        <w:t xml:space="preserve"> the number of members was </w:t>
      </w:r>
      <w:r w:rsidR="00470969" w:rsidRPr="00A46163">
        <w:t>15</w:t>
      </w:r>
      <w:r w:rsidRPr="00A46163">
        <w:t xml:space="preserve"> (</w:t>
      </w:r>
      <w:r w:rsidR="00985FF4" w:rsidRPr="00A46163">
        <w:t>2014</w:t>
      </w:r>
      <w:r w:rsidR="00470969" w:rsidRPr="00A46163">
        <w:t>:1</w:t>
      </w:r>
      <w:r w:rsidR="00522D47" w:rsidRPr="00A46163">
        <w:t>5</w:t>
      </w:r>
      <w:r w:rsidRPr="00A46163">
        <w:t>).</w:t>
      </w:r>
    </w:p>
    <w:p w:rsidR="00D2400B" w:rsidRPr="00FC5AAD" w:rsidRDefault="00EC6D27" w:rsidP="00EC6D27">
      <w:pPr>
        <w:pStyle w:val="Heading2"/>
        <w:rPr>
          <w:b w:val="0"/>
          <w:szCs w:val="32"/>
        </w:rPr>
      </w:pPr>
      <w:r>
        <w:rPr>
          <w:b w:val="0"/>
          <w:szCs w:val="32"/>
        </w:rPr>
        <w:t>14.</w:t>
      </w:r>
      <w:r w:rsidR="000B4B10">
        <w:rPr>
          <w:b w:val="0"/>
          <w:szCs w:val="32"/>
        </w:rPr>
        <w:t xml:space="preserve"> </w:t>
      </w:r>
      <w:r w:rsidR="00D2400B" w:rsidRPr="00FC5AAD">
        <w:rPr>
          <w:b w:val="0"/>
          <w:szCs w:val="32"/>
        </w:rPr>
        <w:t>Financial Risk Management</w:t>
      </w:r>
    </w:p>
    <w:p w:rsidR="00D2400B" w:rsidRDefault="00D2400B" w:rsidP="000C5471">
      <w:pPr>
        <w:widowControl w:val="0"/>
        <w:autoSpaceDE w:val="0"/>
        <w:autoSpaceDN w:val="0"/>
        <w:adjustRightInd w:val="0"/>
        <w:spacing w:before="55" w:after="240" w:line="240" w:lineRule="auto"/>
      </w:pPr>
      <w:r w:rsidRPr="00BE679F">
        <w:t>The company’s financial instruments consist mainly of deposits wit</w:t>
      </w:r>
      <w:r w:rsidR="00BE679F">
        <w:t xml:space="preserve">h banks, short-term investments, </w:t>
      </w:r>
      <w:r w:rsidRPr="00BE679F">
        <w:t>and accounts receivable and payable.</w:t>
      </w:r>
    </w:p>
    <w:p w:rsidR="002A1136" w:rsidRDefault="002A1136" w:rsidP="00712543">
      <w:pPr>
        <w:widowControl w:val="0"/>
        <w:autoSpaceDE w:val="0"/>
        <w:autoSpaceDN w:val="0"/>
        <w:adjustRightInd w:val="0"/>
        <w:spacing w:before="2040" w:after="0" w:line="240" w:lineRule="auto"/>
        <w:ind w:left="1728" w:right="1176"/>
        <w:jc w:val="center"/>
        <w:rPr>
          <w:rFonts w:cstheme="minorHAnsi"/>
          <w:color w:val="000000"/>
        </w:rPr>
      </w:pPr>
      <w:r w:rsidRPr="00105329">
        <w:rPr>
          <w:rFonts w:cstheme="minorHAnsi"/>
          <w:i/>
          <w:iCs/>
          <w:color w:val="000000"/>
          <w:szCs w:val="16"/>
        </w:rPr>
        <w:t>These notes form part of the financial statements</w:t>
      </w:r>
      <w:r>
        <w:rPr>
          <w:rFonts w:cstheme="minorHAnsi"/>
          <w:color w:val="000000"/>
        </w:rPr>
        <w:br w:type="page"/>
      </w:r>
    </w:p>
    <w:p w:rsidR="002A1136" w:rsidRPr="00E171F7" w:rsidRDefault="002A1136" w:rsidP="002A1136">
      <w:pPr>
        <w:rPr>
          <w:sz w:val="48"/>
        </w:rPr>
      </w:pPr>
      <w:r w:rsidRPr="00E171F7">
        <w:rPr>
          <w:sz w:val="48"/>
        </w:rPr>
        <w:lastRenderedPageBreak/>
        <w:t>Notes to the Financial Statements</w:t>
      </w:r>
    </w:p>
    <w:p w:rsidR="002A1136" w:rsidRPr="006D2D33" w:rsidRDefault="000C0AED" w:rsidP="002A1136">
      <w:pPr>
        <w:rPr>
          <w:b/>
          <w:sz w:val="24"/>
          <w:szCs w:val="24"/>
        </w:rPr>
      </w:pPr>
      <w:r>
        <w:rPr>
          <w:b/>
        </w:rPr>
        <w:t xml:space="preserve">For the Year ended 30 June </w:t>
      </w:r>
      <w:r w:rsidR="00985FF4">
        <w:rPr>
          <w:b/>
        </w:rPr>
        <w:t>2015</w:t>
      </w:r>
    </w:p>
    <w:p w:rsidR="002A1136" w:rsidRPr="00FC5AAD" w:rsidRDefault="002A1136" w:rsidP="002A1136">
      <w:pPr>
        <w:widowControl w:val="0"/>
        <w:autoSpaceDE w:val="0"/>
        <w:autoSpaceDN w:val="0"/>
        <w:adjustRightInd w:val="0"/>
        <w:spacing w:before="240"/>
        <w:rPr>
          <w:rFonts w:cstheme="minorHAnsi"/>
          <w:sz w:val="32"/>
        </w:rPr>
      </w:pPr>
      <w:r w:rsidRPr="00FC5AAD">
        <w:rPr>
          <w:rFonts w:cstheme="minorHAnsi"/>
          <w:sz w:val="32"/>
        </w:rPr>
        <w:t>14.</w:t>
      </w:r>
      <w:r w:rsidR="000B4B10">
        <w:rPr>
          <w:rFonts w:cstheme="minorHAnsi"/>
          <w:sz w:val="32"/>
        </w:rPr>
        <w:t xml:space="preserve"> </w:t>
      </w:r>
      <w:r w:rsidRPr="00FC5AAD">
        <w:rPr>
          <w:rFonts w:cstheme="minorHAnsi"/>
          <w:sz w:val="32"/>
        </w:rPr>
        <w:t xml:space="preserve">Financial Risk </w:t>
      </w:r>
      <w:r>
        <w:rPr>
          <w:rFonts w:cstheme="minorHAnsi"/>
          <w:sz w:val="32"/>
        </w:rPr>
        <w:t>Management (c</w:t>
      </w:r>
      <w:r w:rsidRPr="00FC5AAD">
        <w:rPr>
          <w:rFonts w:cstheme="minorHAnsi"/>
          <w:sz w:val="32"/>
        </w:rPr>
        <w:t>ontinued)</w:t>
      </w:r>
    </w:p>
    <w:p w:rsidR="00D2400B" w:rsidRPr="00BE679F" w:rsidRDefault="00D2400B" w:rsidP="000C5471">
      <w:pPr>
        <w:widowControl w:val="0"/>
        <w:autoSpaceDE w:val="0"/>
        <w:autoSpaceDN w:val="0"/>
        <w:adjustRightInd w:val="0"/>
        <w:spacing w:before="55" w:after="240" w:line="240" w:lineRule="auto"/>
      </w:pPr>
      <w:r w:rsidRPr="00BE679F">
        <w:t>The totals for each category of financial instruments, measured in accordance with AASB 139 as detailed in the accounting policies to these financial statements, are as follows:</w:t>
      </w: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nancial assets and liabilities"/>
      </w:tblPr>
      <w:tblGrid>
        <w:gridCol w:w="4941"/>
        <w:gridCol w:w="1377"/>
        <w:gridCol w:w="87"/>
        <w:gridCol w:w="1303"/>
        <w:gridCol w:w="13"/>
        <w:gridCol w:w="1464"/>
        <w:gridCol w:w="24"/>
      </w:tblGrid>
      <w:tr w:rsidR="00D2400B" w:rsidRPr="00522D47" w:rsidTr="00DB3DFE">
        <w:trPr>
          <w:gridAfter w:val="1"/>
          <w:cnfStyle w:val="100000000000" w:firstRow="1" w:lastRow="0" w:firstColumn="0" w:lastColumn="0" w:oddVBand="0" w:evenVBand="0" w:oddHBand="0" w:evenHBand="0" w:firstRowFirstColumn="0" w:firstRowLastColumn="0" w:lastRowFirstColumn="0" w:lastRowLastColumn="0"/>
          <w:wAfter w:w="24" w:type="dxa"/>
          <w:tblHeader/>
          <w:jc w:val="center"/>
        </w:trPr>
        <w:tc>
          <w:tcPr>
            <w:tcW w:w="4941" w:type="dxa"/>
          </w:tcPr>
          <w:p w:rsidR="00D2400B" w:rsidRPr="00522D47" w:rsidRDefault="00D2400B" w:rsidP="009A2800">
            <w:pPr>
              <w:spacing w:line="240" w:lineRule="auto"/>
              <w:rPr>
                <w:rFonts w:cstheme="minorHAnsi"/>
              </w:rPr>
            </w:pPr>
            <w:r w:rsidRPr="00522D47">
              <w:rPr>
                <w:rFonts w:cstheme="minorHAnsi"/>
              </w:rPr>
              <w:t>Financial Assets</w:t>
            </w:r>
          </w:p>
        </w:tc>
        <w:tc>
          <w:tcPr>
            <w:tcW w:w="1464" w:type="dxa"/>
            <w:gridSpan w:val="2"/>
          </w:tcPr>
          <w:p w:rsidR="00D2400B" w:rsidRPr="00522D47" w:rsidRDefault="00D2400B" w:rsidP="0078384F">
            <w:pPr>
              <w:spacing w:line="240" w:lineRule="auto"/>
              <w:jc w:val="center"/>
              <w:rPr>
                <w:rFonts w:cstheme="minorHAnsi"/>
              </w:rPr>
            </w:pPr>
            <w:r w:rsidRPr="00522D47">
              <w:rPr>
                <w:rFonts w:cstheme="minorHAnsi"/>
              </w:rPr>
              <w:t>Note</w:t>
            </w:r>
          </w:p>
        </w:tc>
        <w:tc>
          <w:tcPr>
            <w:tcW w:w="1316" w:type="dxa"/>
            <w:gridSpan w:val="2"/>
          </w:tcPr>
          <w:p w:rsidR="00D2400B" w:rsidRPr="00522D47" w:rsidRDefault="00985FF4" w:rsidP="000C0AED">
            <w:pPr>
              <w:spacing w:line="240" w:lineRule="auto"/>
              <w:jc w:val="right"/>
              <w:rPr>
                <w:rFonts w:cstheme="minorHAnsi"/>
                <w:sz w:val="24"/>
                <w:szCs w:val="24"/>
              </w:rPr>
            </w:pPr>
            <w:r w:rsidRPr="00522D47">
              <w:rPr>
                <w:rFonts w:cstheme="minorHAnsi"/>
                <w:color w:val="000000"/>
              </w:rPr>
              <w:t>2015</w:t>
            </w:r>
            <w:r w:rsidR="009A2800" w:rsidRPr="00522D47">
              <w:rPr>
                <w:rFonts w:cstheme="minorHAnsi"/>
                <w:color w:val="000000"/>
              </w:rPr>
              <w:br/>
              <w:t>$</w:t>
            </w:r>
          </w:p>
        </w:tc>
        <w:tc>
          <w:tcPr>
            <w:tcW w:w="1464" w:type="dxa"/>
          </w:tcPr>
          <w:p w:rsidR="00D2400B" w:rsidRPr="00522D47" w:rsidRDefault="00985FF4" w:rsidP="000C0AED">
            <w:pPr>
              <w:spacing w:line="240" w:lineRule="auto"/>
              <w:jc w:val="right"/>
              <w:rPr>
                <w:rFonts w:cstheme="minorHAnsi"/>
                <w:sz w:val="24"/>
                <w:szCs w:val="24"/>
              </w:rPr>
            </w:pPr>
            <w:r w:rsidRPr="00522D47">
              <w:rPr>
                <w:rFonts w:cstheme="minorHAnsi"/>
                <w:color w:val="000000"/>
              </w:rPr>
              <w:t>2014</w:t>
            </w:r>
            <w:r w:rsidR="009A2800" w:rsidRPr="00522D47">
              <w:rPr>
                <w:rFonts w:cstheme="minorHAnsi"/>
                <w:color w:val="000000"/>
              </w:rPr>
              <w:br/>
              <w:t>$</w:t>
            </w:r>
          </w:p>
        </w:tc>
      </w:tr>
      <w:tr w:rsidR="0033488A" w:rsidRPr="00522D47" w:rsidTr="00DB3DFE">
        <w:trPr>
          <w:gridAfter w:val="1"/>
          <w:wAfter w:w="24" w:type="dxa"/>
          <w:jc w:val="center"/>
        </w:trPr>
        <w:tc>
          <w:tcPr>
            <w:tcW w:w="4941" w:type="dxa"/>
          </w:tcPr>
          <w:p w:rsidR="0033488A" w:rsidRPr="00522D47" w:rsidRDefault="0033488A" w:rsidP="009A2800">
            <w:pPr>
              <w:spacing w:line="240" w:lineRule="auto"/>
            </w:pPr>
            <w:r w:rsidRPr="00522D47">
              <w:t>Cash and cash equivalent</w:t>
            </w:r>
          </w:p>
        </w:tc>
        <w:tc>
          <w:tcPr>
            <w:tcW w:w="1464" w:type="dxa"/>
            <w:gridSpan w:val="2"/>
          </w:tcPr>
          <w:p w:rsidR="0033488A" w:rsidRPr="00522D47" w:rsidRDefault="0033488A" w:rsidP="0078384F">
            <w:pPr>
              <w:spacing w:line="240" w:lineRule="auto"/>
              <w:jc w:val="center"/>
            </w:pPr>
            <w:r w:rsidRPr="00522D47">
              <w:t>6</w:t>
            </w:r>
          </w:p>
        </w:tc>
        <w:tc>
          <w:tcPr>
            <w:tcW w:w="1316" w:type="dxa"/>
            <w:gridSpan w:val="2"/>
          </w:tcPr>
          <w:p w:rsidR="0033488A" w:rsidRPr="00522D47" w:rsidRDefault="00255A6C" w:rsidP="0078384F">
            <w:pPr>
              <w:spacing w:line="240" w:lineRule="auto"/>
              <w:jc w:val="right"/>
            </w:pPr>
            <w:r w:rsidRPr="00522D47">
              <w:t>1,076,624</w:t>
            </w:r>
          </w:p>
        </w:tc>
        <w:tc>
          <w:tcPr>
            <w:tcW w:w="1464" w:type="dxa"/>
          </w:tcPr>
          <w:p w:rsidR="0033488A" w:rsidRPr="00522D47" w:rsidRDefault="0033488A" w:rsidP="0033488A">
            <w:pPr>
              <w:spacing w:line="240" w:lineRule="auto"/>
              <w:jc w:val="right"/>
            </w:pPr>
            <w:r w:rsidRPr="00522D47">
              <w:t>2,053,240</w:t>
            </w:r>
          </w:p>
        </w:tc>
      </w:tr>
      <w:tr w:rsidR="0033488A" w:rsidRPr="00522D47" w:rsidTr="00DB3DFE">
        <w:trPr>
          <w:gridAfter w:val="1"/>
          <w:wAfter w:w="24" w:type="dxa"/>
          <w:jc w:val="center"/>
        </w:trPr>
        <w:tc>
          <w:tcPr>
            <w:tcW w:w="4941" w:type="dxa"/>
          </w:tcPr>
          <w:p w:rsidR="0033488A" w:rsidRPr="00522D47" w:rsidRDefault="0033488A" w:rsidP="009A2800">
            <w:pPr>
              <w:spacing w:line="240" w:lineRule="auto"/>
            </w:pPr>
            <w:r w:rsidRPr="00522D47">
              <w:t>Financial assets at fair value through profit or loss</w:t>
            </w:r>
          </w:p>
        </w:tc>
        <w:tc>
          <w:tcPr>
            <w:tcW w:w="1464" w:type="dxa"/>
            <w:gridSpan w:val="2"/>
          </w:tcPr>
          <w:p w:rsidR="0033488A" w:rsidRPr="00522D47" w:rsidRDefault="0033488A" w:rsidP="0078384F">
            <w:pPr>
              <w:spacing w:line="240" w:lineRule="auto"/>
              <w:jc w:val="center"/>
            </w:pPr>
            <w:r w:rsidRPr="00522D47">
              <w:t>8</w:t>
            </w:r>
          </w:p>
        </w:tc>
        <w:tc>
          <w:tcPr>
            <w:tcW w:w="1316" w:type="dxa"/>
            <w:gridSpan w:val="2"/>
          </w:tcPr>
          <w:p w:rsidR="0033488A" w:rsidRPr="00522D47" w:rsidRDefault="0033488A" w:rsidP="00B92029">
            <w:pPr>
              <w:spacing w:line="240" w:lineRule="auto"/>
              <w:jc w:val="right"/>
            </w:pPr>
            <w:r w:rsidRPr="00522D47">
              <w:rPr>
                <w:rFonts w:cstheme="minorHAnsi"/>
              </w:rPr>
              <w:t>4,</w:t>
            </w:r>
            <w:r w:rsidR="00255A6C" w:rsidRPr="00522D47">
              <w:rPr>
                <w:rFonts w:cstheme="minorHAnsi"/>
              </w:rPr>
              <w:t>618,7</w:t>
            </w:r>
            <w:r w:rsidR="00B92029" w:rsidRPr="00522D47">
              <w:rPr>
                <w:rFonts w:cstheme="minorHAnsi"/>
              </w:rPr>
              <w:t>90</w:t>
            </w:r>
          </w:p>
        </w:tc>
        <w:tc>
          <w:tcPr>
            <w:tcW w:w="1464" w:type="dxa"/>
          </w:tcPr>
          <w:p w:rsidR="0033488A" w:rsidRPr="00522D47" w:rsidRDefault="0033488A" w:rsidP="0033488A">
            <w:pPr>
              <w:spacing w:line="240" w:lineRule="auto"/>
              <w:jc w:val="right"/>
            </w:pPr>
            <w:r w:rsidRPr="00522D47">
              <w:rPr>
                <w:rFonts w:cstheme="minorHAnsi"/>
              </w:rPr>
              <w:t>4,892,192</w:t>
            </w:r>
          </w:p>
        </w:tc>
      </w:tr>
      <w:tr w:rsidR="0033488A" w:rsidRPr="00522D47" w:rsidTr="00DB3DFE">
        <w:trPr>
          <w:gridAfter w:val="1"/>
          <w:wAfter w:w="24" w:type="dxa"/>
          <w:jc w:val="center"/>
        </w:trPr>
        <w:tc>
          <w:tcPr>
            <w:tcW w:w="4941" w:type="dxa"/>
          </w:tcPr>
          <w:p w:rsidR="0033488A" w:rsidRPr="00522D47" w:rsidRDefault="0033488A" w:rsidP="009A2800">
            <w:pPr>
              <w:spacing w:line="240" w:lineRule="auto"/>
            </w:pPr>
            <w:r w:rsidRPr="00522D47">
              <w:t>Trade and other receivables</w:t>
            </w:r>
          </w:p>
        </w:tc>
        <w:tc>
          <w:tcPr>
            <w:tcW w:w="1464" w:type="dxa"/>
            <w:gridSpan w:val="2"/>
          </w:tcPr>
          <w:p w:rsidR="0033488A" w:rsidRPr="00522D47" w:rsidRDefault="0033488A" w:rsidP="0078384F">
            <w:pPr>
              <w:spacing w:line="240" w:lineRule="auto"/>
              <w:jc w:val="center"/>
            </w:pPr>
            <w:r w:rsidRPr="00522D47">
              <w:t>7</w:t>
            </w:r>
          </w:p>
        </w:tc>
        <w:tc>
          <w:tcPr>
            <w:tcW w:w="1316" w:type="dxa"/>
            <w:gridSpan w:val="2"/>
            <w:tcBorders>
              <w:bottom w:val="single" w:sz="4" w:space="0" w:color="auto"/>
            </w:tcBorders>
          </w:tcPr>
          <w:p w:rsidR="0033488A" w:rsidRPr="00522D47" w:rsidRDefault="00255A6C" w:rsidP="0078384F">
            <w:pPr>
              <w:spacing w:line="240" w:lineRule="auto"/>
              <w:jc w:val="right"/>
              <w:rPr>
                <w:sz w:val="24"/>
                <w:szCs w:val="24"/>
              </w:rPr>
            </w:pPr>
            <w:r w:rsidRPr="00522D47">
              <w:rPr>
                <w:rFonts w:cstheme="minorHAnsi"/>
              </w:rPr>
              <w:t>156,658</w:t>
            </w:r>
          </w:p>
        </w:tc>
        <w:tc>
          <w:tcPr>
            <w:tcW w:w="1464" w:type="dxa"/>
            <w:tcBorders>
              <w:bottom w:val="single" w:sz="4" w:space="0" w:color="auto"/>
            </w:tcBorders>
          </w:tcPr>
          <w:p w:rsidR="0033488A" w:rsidRPr="00522D47" w:rsidRDefault="0033488A" w:rsidP="0033488A">
            <w:pPr>
              <w:spacing w:line="240" w:lineRule="auto"/>
              <w:jc w:val="right"/>
              <w:rPr>
                <w:sz w:val="24"/>
                <w:szCs w:val="24"/>
              </w:rPr>
            </w:pPr>
            <w:r w:rsidRPr="00522D47">
              <w:rPr>
                <w:rFonts w:cstheme="minorHAnsi"/>
              </w:rPr>
              <w:t>176,314</w:t>
            </w:r>
          </w:p>
        </w:tc>
      </w:tr>
      <w:tr w:rsidR="0033488A" w:rsidRPr="00522D47" w:rsidTr="00DB3DFE">
        <w:trPr>
          <w:gridAfter w:val="1"/>
          <w:wAfter w:w="24" w:type="dxa"/>
          <w:jc w:val="center"/>
        </w:trPr>
        <w:tc>
          <w:tcPr>
            <w:tcW w:w="4941" w:type="dxa"/>
          </w:tcPr>
          <w:p w:rsidR="0033488A" w:rsidRPr="00522D47" w:rsidRDefault="0033488A" w:rsidP="009A2800">
            <w:pPr>
              <w:spacing w:line="240" w:lineRule="auto"/>
              <w:rPr>
                <w:b/>
              </w:rPr>
            </w:pPr>
            <w:r w:rsidRPr="00522D47">
              <w:rPr>
                <w:b/>
              </w:rPr>
              <w:t>Total Trade and Other Receivables</w:t>
            </w:r>
          </w:p>
        </w:tc>
        <w:tc>
          <w:tcPr>
            <w:tcW w:w="1464" w:type="dxa"/>
            <w:gridSpan w:val="2"/>
          </w:tcPr>
          <w:p w:rsidR="0033488A" w:rsidRPr="00522D47" w:rsidRDefault="0033488A" w:rsidP="0078384F">
            <w:pPr>
              <w:spacing w:line="240" w:lineRule="auto"/>
              <w:jc w:val="center"/>
            </w:pPr>
          </w:p>
        </w:tc>
        <w:tc>
          <w:tcPr>
            <w:tcW w:w="1316" w:type="dxa"/>
            <w:gridSpan w:val="2"/>
            <w:tcBorders>
              <w:top w:val="single" w:sz="4" w:space="0" w:color="auto"/>
              <w:bottom w:val="double" w:sz="4" w:space="0" w:color="auto"/>
            </w:tcBorders>
          </w:tcPr>
          <w:p w:rsidR="0033488A" w:rsidRPr="00522D47" w:rsidRDefault="00255A6C" w:rsidP="00B92029">
            <w:pPr>
              <w:spacing w:after="60" w:line="240" w:lineRule="auto"/>
              <w:jc w:val="right"/>
            </w:pPr>
            <w:r w:rsidRPr="00522D47">
              <w:t>5,852,07</w:t>
            </w:r>
            <w:r w:rsidR="00B92029" w:rsidRPr="00522D47">
              <w:t>2</w:t>
            </w:r>
          </w:p>
        </w:tc>
        <w:tc>
          <w:tcPr>
            <w:tcW w:w="1464" w:type="dxa"/>
            <w:tcBorders>
              <w:top w:val="single" w:sz="4" w:space="0" w:color="auto"/>
              <w:bottom w:val="double" w:sz="4" w:space="0" w:color="auto"/>
            </w:tcBorders>
          </w:tcPr>
          <w:p w:rsidR="0033488A" w:rsidRPr="00522D47" w:rsidRDefault="0033488A" w:rsidP="0033488A">
            <w:pPr>
              <w:spacing w:after="60" w:line="240" w:lineRule="auto"/>
              <w:jc w:val="right"/>
            </w:pPr>
            <w:r w:rsidRPr="00522D47">
              <w:t>7,121,746</w:t>
            </w:r>
          </w:p>
        </w:tc>
      </w:tr>
      <w:tr w:rsidR="00D2400B" w:rsidRPr="00522D47" w:rsidTr="00DB3DFE">
        <w:trPr>
          <w:gridAfter w:val="1"/>
          <w:wAfter w:w="24" w:type="dxa"/>
          <w:jc w:val="center"/>
        </w:trPr>
        <w:tc>
          <w:tcPr>
            <w:tcW w:w="4941" w:type="dxa"/>
          </w:tcPr>
          <w:p w:rsidR="00D2400B" w:rsidRPr="00522D47" w:rsidRDefault="00D2400B" w:rsidP="009A2800">
            <w:pPr>
              <w:spacing w:line="240" w:lineRule="auto"/>
              <w:rPr>
                <w:b/>
              </w:rPr>
            </w:pPr>
            <w:r w:rsidRPr="00522D47">
              <w:rPr>
                <w:b/>
              </w:rPr>
              <w:t>Financial Liabilities</w:t>
            </w:r>
          </w:p>
        </w:tc>
        <w:tc>
          <w:tcPr>
            <w:tcW w:w="1464" w:type="dxa"/>
            <w:gridSpan w:val="2"/>
          </w:tcPr>
          <w:p w:rsidR="00D2400B" w:rsidRPr="00522D47" w:rsidRDefault="00D2400B" w:rsidP="0078384F">
            <w:pPr>
              <w:spacing w:line="240" w:lineRule="auto"/>
              <w:jc w:val="center"/>
              <w:rPr>
                <w:b/>
              </w:rPr>
            </w:pPr>
          </w:p>
        </w:tc>
        <w:tc>
          <w:tcPr>
            <w:tcW w:w="1316" w:type="dxa"/>
            <w:gridSpan w:val="2"/>
            <w:tcBorders>
              <w:top w:val="double" w:sz="4" w:space="0" w:color="auto"/>
            </w:tcBorders>
          </w:tcPr>
          <w:p w:rsidR="00D2400B" w:rsidRPr="00522D47" w:rsidRDefault="00D2400B" w:rsidP="0078384F">
            <w:pPr>
              <w:spacing w:line="240" w:lineRule="auto"/>
              <w:jc w:val="right"/>
              <w:rPr>
                <w:b/>
              </w:rPr>
            </w:pPr>
          </w:p>
        </w:tc>
        <w:tc>
          <w:tcPr>
            <w:tcW w:w="1464" w:type="dxa"/>
            <w:tcBorders>
              <w:top w:val="double" w:sz="4" w:space="0" w:color="auto"/>
            </w:tcBorders>
          </w:tcPr>
          <w:p w:rsidR="00D2400B" w:rsidRPr="00522D47" w:rsidRDefault="00D2400B" w:rsidP="0078384F">
            <w:pPr>
              <w:spacing w:line="240" w:lineRule="auto"/>
              <w:jc w:val="right"/>
              <w:rPr>
                <w:b/>
              </w:rPr>
            </w:pPr>
          </w:p>
        </w:tc>
      </w:tr>
      <w:tr w:rsidR="0033488A" w:rsidRPr="006D5248" w:rsidTr="00DB3DFE">
        <w:trPr>
          <w:jc w:val="center"/>
        </w:trPr>
        <w:tc>
          <w:tcPr>
            <w:tcW w:w="4941" w:type="dxa"/>
          </w:tcPr>
          <w:p w:rsidR="0033488A" w:rsidRPr="00522D47" w:rsidRDefault="0033488A" w:rsidP="009A2800">
            <w:pPr>
              <w:spacing w:line="240" w:lineRule="auto"/>
            </w:pPr>
            <w:r w:rsidRPr="00522D47">
              <w:t>Financial liabilities at amortised cost</w:t>
            </w:r>
          </w:p>
        </w:tc>
        <w:tc>
          <w:tcPr>
            <w:tcW w:w="1377" w:type="dxa"/>
          </w:tcPr>
          <w:p w:rsidR="0033488A" w:rsidRPr="00522D47" w:rsidRDefault="0033488A" w:rsidP="0078384F">
            <w:pPr>
              <w:spacing w:line="240" w:lineRule="auto"/>
              <w:jc w:val="center"/>
            </w:pPr>
            <w:r w:rsidRPr="00522D47">
              <w:t>10</w:t>
            </w:r>
          </w:p>
        </w:tc>
        <w:tc>
          <w:tcPr>
            <w:tcW w:w="1390" w:type="dxa"/>
            <w:gridSpan w:val="2"/>
            <w:tcBorders>
              <w:bottom w:val="single" w:sz="4" w:space="0" w:color="auto"/>
            </w:tcBorders>
          </w:tcPr>
          <w:p w:rsidR="0033488A" w:rsidRPr="00522D47" w:rsidRDefault="006D5248" w:rsidP="00DB3DFE">
            <w:pPr>
              <w:spacing w:after="60" w:line="240" w:lineRule="auto"/>
              <w:jc w:val="right"/>
              <w:rPr>
                <w:sz w:val="24"/>
                <w:szCs w:val="24"/>
              </w:rPr>
            </w:pPr>
            <w:r w:rsidRPr="00522D47">
              <w:rPr>
                <w:rFonts w:cstheme="minorHAnsi"/>
                <w:szCs w:val="22"/>
              </w:rPr>
              <w:t>143,152</w:t>
            </w:r>
          </w:p>
        </w:tc>
        <w:tc>
          <w:tcPr>
            <w:tcW w:w="1501" w:type="dxa"/>
            <w:gridSpan w:val="3"/>
            <w:tcBorders>
              <w:bottom w:val="single" w:sz="4" w:space="0" w:color="auto"/>
            </w:tcBorders>
          </w:tcPr>
          <w:p w:rsidR="0033488A" w:rsidRPr="00522D47" w:rsidRDefault="0033488A" w:rsidP="0033488A">
            <w:pPr>
              <w:spacing w:after="60" w:line="240" w:lineRule="auto"/>
              <w:jc w:val="right"/>
              <w:rPr>
                <w:sz w:val="24"/>
                <w:szCs w:val="24"/>
              </w:rPr>
            </w:pPr>
            <w:r w:rsidRPr="00522D47">
              <w:rPr>
                <w:rFonts w:cstheme="minorHAnsi"/>
                <w:szCs w:val="22"/>
              </w:rPr>
              <w:t>108,413</w:t>
            </w:r>
          </w:p>
        </w:tc>
      </w:tr>
      <w:tr w:rsidR="0033488A" w:rsidRPr="006D5248" w:rsidTr="00DB3DFE">
        <w:trPr>
          <w:jc w:val="center"/>
        </w:trPr>
        <w:tc>
          <w:tcPr>
            <w:tcW w:w="4941" w:type="dxa"/>
          </w:tcPr>
          <w:p w:rsidR="0033488A" w:rsidRPr="00522D47" w:rsidRDefault="0033488A" w:rsidP="009A2800">
            <w:pPr>
              <w:spacing w:line="240" w:lineRule="auto"/>
              <w:rPr>
                <w:b/>
                <w:bCs/>
              </w:rPr>
            </w:pPr>
            <w:r w:rsidRPr="00522D47">
              <w:rPr>
                <w:b/>
                <w:bCs/>
              </w:rPr>
              <w:t>Total Trade and Other Payables</w:t>
            </w:r>
          </w:p>
        </w:tc>
        <w:tc>
          <w:tcPr>
            <w:tcW w:w="1377" w:type="dxa"/>
          </w:tcPr>
          <w:p w:rsidR="0033488A" w:rsidRPr="00522D47" w:rsidRDefault="0033488A" w:rsidP="0078384F">
            <w:pPr>
              <w:spacing w:line="240" w:lineRule="auto"/>
              <w:jc w:val="center"/>
              <w:rPr>
                <w:sz w:val="24"/>
                <w:szCs w:val="24"/>
              </w:rPr>
            </w:pPr>
          </w:p>
        </w:tc>
        <w:tc>
          <w:tcPr>
            <w:tcW w:w="1390" w:type="dxa"/>
            <w:gridSpan w:val="2"/>
            <w:tcBorders>
              <w:top w:val="single" w:sz="4" w:space="0" w:color="auto"/>
              <w:bottom w:val="double" w:sz="4" w:space="0" w:color="auto"/>
            </w:tcBorders>
          </w:tcPr>
          <w:p w:rsidR="0033488A" w:rsidRPr="00522D47" w:rsidRDefault="0033488A" w:rsidP="006D5248">
            <w:pPr>
              <w:spacing w:after="60" w:line="240" w:lineRule="auto"/>
              <w:jc w:val="right"/>
              <w:rPr>
                <w:szCs w:val="22"/>
              </w:rPr>
            </w:pPr>
            <w:r w:rsidRPr="00522D47">
              <w:rPr>
                <w:szCs w:val="22"/>
              </w:rPr>
              <w:t>1</w:t>
            </w:r>
            <w:r w:rsidR="006D5248" w:rsidRPr="00522D47">
              <w:rPr>
                <w:szCs w:val="22"/>
              </w:rPr>
              <w:t>43,152</w:t>
            </w:r>
          </w:p>
        </w:tc>
        <w:tc>
          <w:tcPr>
            <w:tcW w:w="1501" w:type="dxa"/>
            <w:gridSpan w:val="3"/>
            <w:tcBorders>
              <w:top w:val="single" w:sz="4" w:space="0" w:color="auto"/>
              <w:bottom w:val="double" w:sz="4" w:space="0" w:color="auto"/>
            </w:tcBorders>
          </w:tcPr>
          <w:p w:rsidR="0033488A" w:rsidRPr="00522D47" w:rsidRDefault="0033488A" w:rsidP="0033488A">
            <w:pPr>
              <w:spacing w:after="60" w:line="240" w:lineRule="auto"/>
              <w:jc w:val="right"/>
              <w:rPr>
                <w:szCs w:val="22"/>
              </w:rPr>
            </w:pPr>
            <w:r w:rsidRPr="00522D47">
              <w:rPr>
                <w:szCs w:val="22"/>
              </w:rPr>
              <w:t>108,413</w:t>
            </w:r>
          </w:p>
        </w:tc>
      </w:tr>
    </w:tbl>
    <w:p w:rsidR="00D2400B" w:rsidRPr="00F30B78" w:rsidRDefault="00D2400B" w:rsidP="002A1136">
      <w:pPr>
        <w:spacing w:before="140"/>
        <w:rPr>
          <w:b/>
        </w:rPr>
      </w:pPr>
      <w:r w:rsidRPr="002A1136">
        <w:rPr>
          <w:b/>
        </w:rPr>
        <w:t>Financial Risk Management Policies</w:t>
      </w:r>
    </w:p>
    <w:p w:rsidR="00D2400B" w:rsidRPr="00117C87" w:rsidRDefault="00D2400B" w:rsidP="002A1136">
      <w:r w:rsidRPr="00117C87">
        <w:t>Consisting of senior committee members, the finance committee’s overall risk management strategy seeks to assist the company in meeting its financ</w:t>
      </w:r>
      <w:r>
        <w:t xml:space="preserve">ial targets, whilst minimizing </w:t>
      </w:r>
      <w:r w:rsidRPr="00117C87">
        <w:t>potential adverse effects on financial performance. Risk ma</w:t>
      </w:r>
      <w:r>
        <w:t xml:space="preserve">nagement policies are approved </w:t>
      </w:r>
      <w:r w:rsidRPr="00117C87">
        <w:t>and reviewed by the finance committee on regular basis. Thes</w:t>
      </w:r>
      <w:r>
        <w:t xml:space="preserve">e include credit risk policies </w:t>
      </w:r>
      <w:r w:rsidRPr="00117C87">
        <w:t>and</w:t>
      </w:r>
      <w:r w:rsidR="00467844">
        <w:t xml:space="preserve"> future cash flow requirements.</w:t>
      </w:r>
    </w:p>
    <w:p w:rsidR="00D2400B" w:rsidRPr="00467844" w:rsidRDefault="00D2400B" w:rsidP="002A1136">
      <w:pPr>
        <w:tabs>
          <w:tab w:val="left" w:pos="1134"/>
        </w:tabs>
        <w:rPr>
          <w:b/>
        </w:rPr>
      </w:pPr>
      <w:r w:rsidRPr="00467844">
        <w:rPr>
          <w:b/>
        </w:rPr>
        <w:t>Specific Financial Risk Exposures and Management</w:t>
      </w:r>
    </w:p>
    <w:p w:rsidR="00D2400B" w:rsidRPr="00467844" w:rsidRDefault="00D2400B" w:rsidP="002A1136">
      <w:r w:rsidRPr="00467844">
        <w:t>The main risks the company is exposed to through its financial instruments are interest rate risk, liquidity risk, credit risk and equity price risk.</w:t>
      </w:r>
    </w:p>
    <w:p w:rsidR="00D2400B" w:rsidRPr="00117C87" w:rsidRDefault="00D2400B" w:rsidP="002A1136">
      <w:pPr>
        <w:pStyle w:val="ListParagraph"/>
        <w:numPr>
          <w:ilvl w:val="0"/>
          <w:numId w:val="26"/>
        </w:numPr>
        <w:ind w:left="720"/>
      </w:pPr>
      <w:r w:rsidRPr="00117C87">
        <w:t xml:space="preserve">Interest rate risk </w:t>
      </w:r>
    </w:p>
    <w:p w:rsidR="00D2400B" w:rsidRPr="00117C87" w:rsidRDefault="00D2400B" w:rsidP="002A1136">
      <w:pPr>
        <w:pStyle w:val="ListParagraph"/>
      </w:pPr>
      <w:r w:rsidRPr="00117C87">
        <w:t>The entity is not exposed to interest rate risk in relation to debt. It is only exposed to fluctuation on interest rates on interest bearing assets.</w:t>
      </w:r>
    </w:p>
    <w:p w:rsidR="00D2400B" w:rsidRPr="00117C87" w:rsidRDefault="00D2400B" w:rsidP="002A1136">
      <w:pPr>
        <w:pStyle w:val="ListParagraph"/>
        <w:numPr>
          <w:ilvl w:val="0"/>
          <w:numId w:val="26"/>
        </w:numPr>
        <w:ind w:left="720"/>
      </w:pPr>
      <w:r w:rsidRPr="00117C87">
        <w:t>Foreign currency risk</w:t>
      </w:r>
    </w:p>
    <w:p w:rsidR="00D2400B" w:rsidRPr="00117C87" w:rsidRDefault="00D2400B" w:rsidP="002A1136">
      <w:pPr>
        <w:pStyle w:val="ListParagraph"/>
      </w:pPr>
      <w:r w:rsidRPr="00117C87">
        <w:t>The entity is not exposed to fluctuations in foreign currencies.</w:t>
      </w:r>
    </w:p>
    <w:p w:rsidR="00D2400B" w:rsidRPr="00117C87" w:rsidRDefault="00D2400B" w:rsidP="002A1136">
      <w:pPr>
        <w:pStyle w:val="ListParagraph"/>
        <w:numPr>
          <w:ilvl w:val="0"/>
          <w:numId w:val="26"/>
        </w:numPr>
        <w:ind w:left="720"/>
      </w:pPr>
      <w:r w:rsidRPr="00117C87">
        <w:t>Liquidity risk</w:t>
      </w:r>
    </w:p>
    <w:p w:rsidR="002A1136" w:rsidRDefault="00D2400B" w:rsidP="002A1136">
      <w:pPr>
        <w:pStyle w:val="ListParagraph"/>
      </w:pPr>
      <w:r w:rsidRPr="00117C87">
        <w:t>The entity manages liquidity risk by monitoring forecas</w:t>
      </w:r>
      <w:r>
        <w:t xml:space="preserve">t cash flows and ensuring that </w:t>
      </w:r>
      <w:r w:rsidRPr="00117C87">
        <w:t xml:space="preserve">adequate liquid cash assets are maintained. </w:t>
      </w:r>
    </w:p>
    <w:p w:rsidR="00D2400B" w:rsidRDefault="002A1136" w:rsidP="001F30B3">
      <w:pPr>
        <w:spacing w:before="1200"/>
        <w:jc w:val="center"/>
      </w:pPr>
      <w:r w:rsidRPr="002A1136">
        <w:rPr>
          <w:i/>
        </w:rPr>
        <w:t>These notes form part of the financial statements</w:t>
      </w:r>
      <w:r w:rsidRPr="002A1136">
        <w:rPr>
          <w:rFonts w:ascii="Times New Roman" w:hAnsi="Times New Roman"/>
          <w:i/>
          <w:iCs/>
          <w:color w:val="000000"/>
          <w:sz w:val="16"/>
          <w:szCs w:val="16"/>
        </w:rPr>
        <w:br w:type="page"/>
      </w:r>
    </w:p>
    <w:p w:rsidR="002A1136" w:rsidRPr="002A1136" w:rsidRDefault="002A1136" w:rsidP="002A1136">
      <w:pPr>
        <w:jc w:val="both"/>
        <w:rPr>
          <w:sz w:val="48"/>
        </w:rPr>
      </w:pPr>
      <w:r w:rsidRPr="002A1136">
        <w:rPr>
          <w:sz w:val="48"/>
        </w:rPr>
        <w:lastRenderedPageBreak/>
        <w:t>Notes to the Financial Statements</w:t>
      </w:r>
    </w:p>
    <w:p w:rsidR="002A1136" w:rsidRDefault="000C0AED" w:rsidP="002A1136">
      <w:pPr>
        <w:jc w:val="both"/>
        <w:rPr>
          <w:b/>
        </w:rPr>
      </w:pPr>
      <w:r>
        <w:rPr>
          <w:b/>
        </w:rPr>
        <w:t xml:space="preserve">For the Year ended 30 June </w:t>
      </w:r>
      <w:r w:rsidR="00985FF4">
        <w:rPr>
          <w:b/>
        </w:rPr>
        <w:t>2015</w:t>
      </w:r>
    </w:p>
    <w:p w:rsidR="002A1136" w:rsidRPr="00FC5AAD" w:rsidRDefault="002A1136" w:rsidP="002A1136">
      <w:pPr>
        <w:widowControl w:val="0"/>
        <w:autoSpaceDE w:val="0"/>
        <w:autoSpaceDN w:val="0"/>
        <w:adjustRightInd w:val="0"/>
        <w:spacing w:before="240"/>
        <w:rPr>
          <w:rFonts w:cstheme="minorHAnsi"/>
          <w:sz w:val="32"/>
        </w:rPr>
      </w:pPr>
      <w:r w:rsidRPr="00FC5AAD">
        <w:rPr>
          <w:rFonts w:cstheme="minorHAnsi"/>
          <w:sz w:val="32"/>
        </w:rPr>
        <w:t>14.</w:t>
      </w:r>
      <w:r w:rsidR="000B4B10">
        <w:rPr>
          <w:rFonts w:cstheme="minorHAnsi"/>
          <w:sz w:val="32"/>
        </w:rPr>
        <w:t xml:space="preserve"> </w:t>
      </w:r>
      <w:r w:rsidRPr="00FC5AAD">
        <w:rPr>
          <w:rFonts w:cstheme="minorHAnsi"/>
          <w:sz w:val="32"/>
        </w:rPr>
        <w:t xml:space="preserve">Financial Risk </w:t>
      </w:r>
      <w:r>
        <w:rPr>
          <w:rFonts w:cstheme="minorHAnsi"/>
          <w:sz w:val="32"/>
        </w:rPr>
        <w:t>Management (c</w:t>
      </w:r>
      <w:r w:rsidRPr="00FC5AAD">
        <w:rPr>
          <w:rFonts w:cstheme="minorHAnsi"/>
          <w:sz w:val="32"/>
        </w:rPr>
        <w:t>ontinued)</w:t>
      </w:r>
    </w:p>
    <w:p w:rsidR="00D2400B" w:rsidRPr="00117C87" w:rsidRDefault="00D2400B" w:rsidP="002A1136">
      <w:pPr>
        <w:pStyle w:val="ListParagraph"/>
        <w:numPr>
          <w:ilvl w:val="0"/>
          <w:numId w:val="26"/>
        </w:numPr>
        <w:ind w:left="720"/>
      </w:pPr>
      <w:r w:rsidRPr="00117C87">
        <w:t>Credit risk</w:t>
      </w:r>
    </w:p>
    <w:p w:rsidR="00D2400B" w:rsidRPr="00117C87" w:rsidRDefault="00D2400B" w:rsidP="002A1136">
      <w:pPr>
        <w:pStyle w:val="ListParagraph"/>
      </w:pPr>
      <w:r w:rsidRPr="00117C87">
        <w:t>The entity is not exposed to credit risk</w:t>
      </w:r>
    </w:p>
    <w:p w:rsidR="00D2400B" w:rsidRPr="00117C87" w:rsidRDefault="00D2400B" w:rsidP="002A1136">
      <w:pPr>
        <w:pStyle w:val="ListParagraph"/>
        <w:numPr>
          <w:ilvl w:val="0"/>
          <w:numId w:val="26"/>
        </w:numPr>
        <w:ind w:left="720"/>
      </w:pPr>
      <w:r w:rsidRPr="00117C87">
        <w:t>Price risk</w:t>
      </w:r>
    </w:p>
    <w:p w:rsidR="00D2400B" w:rsidRPr="00117C87" w:rsidRDefault="00D2400B" w:rsidP="002A1136">
      <w:pPr>
        <w:pStyle w:val="ListParagraph"/>
      </w:pPr>
      <w:r w:rsidRPr="00117C87">
        <w:t>The company is exposed to securities price risk on investments held for trading or for medium to longer terms. Such risk is managed through diversification of investments across a range of managed asset classes such as listed share and unit trusts, other managed funds.</w:t>
      </w:r>
    </w:p>
    <w:p w:rsidR="00D2400B" w:rsidRPr="00117C87" w:rsidRDefault="00D2400B" w:rsidP="002A1136">
      <w:pPr>
        <w:pStyle w:val="ListParagraph"/>
        <w:numPr>
          <w:ilvl w:val="0"/>
          <w:numId w:val="26"/>
        </w:numPr>
        <w:ind w:left="720"/>
      </w:pPr>
      <w:r w:rsidRPr="00117C87">
        <w:t>Net Fair Values</w:t>
      </w:r>
    </w:p>
    <w:p w:rsidR="00D2400B" w:rsidRPr="00117C87" w:rsidRDefault="00D2400B" w:rsidP="002A1136">
      <w:pPr>
        <w:pStyle w:val="ListParagraph"/>
      </w:pPr>
      <w:proofErr w:type="gramStart"/>
      <w:r w:rsidRPr="00117C87">
        <w:t>Fair value estimation</w:t>
      </w:r>
      <w:r w:rsidR="002A1136">
        <w:t>.</w:t>
      </w:r>
      <w:proofErr w:type="gramEnd"/>
    </w:p>
    <w:p w:rsidR="00D2400B" w:rsidRPr="00117C87" w:rsidRDefault="00D2400B" w:rsidP="002A1136">
      <w:r w:rsidRPr="00117C87">
        <w:t xml:space="preserve">The fair values of financial assets and financial liabilities are equal </w:t>
      </w:r>
      <w:r>
        <w:t xml:space="preserve">to their carrying value in the </w:t>
      </w:r>
      <w:r w:rsidRPr="00117C87">
        <w:t>balance sheet.</w:t>
      </w:r>
    </w:p>
    <w:p w:rsidR="00D2400B" w:rsidRPr="00117C87" w:rsidRDefault="00D2400B" w:rsidP="002A1136">
      <w:pPr>
        <w:rPr>
          <w:highlight w:val="yellow"/>
        </w:rPr>
      </w:pPr>
      <w:r w:rsidRPr="00117C87">
        <w:t>The fair values have been determined on the following methodologies:</w:t>
      </w:r>
    </w:p>
    <w:p w:rsidR="00D2400B" w:rsidRPr="00467844" w:rsidRDefault="00D2400B" w:rsidP="002A1136">
      <w:pPr>
        <w:pStyle w:val="ListParagraph"/>
        <w:numPr>
          <w:ilvl w:val="0"/>
          <w:numId w:val="27"/>
        </w:numPr>
        <w:ind w:left="567"/>
        <w:rPr>
          <w:sz w:val="24"/>
          <w:szCs w:val="24"/>
        </w:rPr>
      </w:pPr>
      <w:r w:rsidRPr="000731E9">
        <w:t xml:space="preserve">Cash and cash equivalents, trade and other receivables and trade and other payables are short term instruments in nature whose carrying value is equivalent to fair value. Trade and other </w:t>
      </w:r>
      <w:r>
        <w:t xml:space="preserve">payables </w:t>
      </w:r>
      <w:r w:rsidRPr="000731E9">
        <w:t>exclude amounts provided for relating to annual leave which is not considered a financial instrument.</w:t>
      </w:r>
    </w:p>
    <w:p w:rsidR="00D2400B" w:rsidRPr="00F02A59" w:rsidRDefault="00D2400B" w:rsidP="002A1136">
      <w:pPr>
        <w:pStyle w:val="ListParagraph"/>
        <w:numPr>
          <w:ilvl w:val="0"/>
          <w:numId w:val="27"/>
        </w:numPr>
        <w:ind w:left="567"/>
      </w:pPr>
      <w:r w:rsidRPr="00F02A59">
        <w:t>For listed available-for-sale and held-for-trading financial assets, closing quoted bid prices at reporting date are used.</w:t>
      </w:r>
    </w:p>
    <w:p w:rsidR="00D2400B" w:rsidRPr="00F02A59" w:rsidRDefault="00D2400B" w:rsidP="002A1136">
      <w:pPr>
        <w:pStyle w:val="ListParagraph"/>
        <w:numPr>
          <w:ilvl w:val="0"/>
          <w:numId w:val="27"/>
        </w:numPr>
        <w:spacing w:after="240"/>
        <w:ind w:left="567" w:hanging="357"/>
        <w:contextualSpacing w:val="0"/>
      </w:pPr>
      <w:r w:rsidRPr="00F02A59">
        <w:t>Fair values of held-to-maturity investments are based on quoted market prices at reporting date.</w:t>
      </w:r>
    </w:p>
    <w:p w:rsidR="00D2400B" w:rsidRPr="00F02A59" w:rsidRDefault="00D2400B" w:rsidP="002A1136">
      <w:pPr>
        <w:pStyle w:val="ListParagraph"/>
        <w:numPr>
          <w:ilvl w:val="0"/>
          <w:numId w:val="26"/>
        </w:numPr>
        <w:ind w:left="570"/>
      </w:pPr>
      <w:r w:rsidRPr="00F02A59">
        <w:t>Sensitivity analysis:</w:t>
      </w:r>
    </w:p>
    <w:p w:rsidR="00D2400B" w:rsidRDefault="00D2400B" w:rsidP="002A1136">
      <w:pPr>
        <w:ind w:left="559"/>
      </w:pPr>
      <w:r w:rsidRPr="00796E81">
        <w:t>The following table illustrates sensitivities to the company’s exposures to changes in interest rates and equity prices. The table indicates the impact on how profit and equity values reported at balance date would have been affected by changes in the relevant risk variable that management considers to be reasonably possible. These sensitivities assume that the movement in a particular variable is</w:t>
      </w:r>
      <w:r>
        <w:t xml:space="preserve"> </w:t>
      </w:r>
      <w:r w:rsidRPr="00796E81">
        <w:t>independent of other variables.</w:t>
      </w:r>
    </w:p>
    <w:p w:rsidR="008F4A4A" w:rsidRDefault="008F4A4A" w:rsidP="00712543">
      <w:pPr>
        <w:spacing w:before="3480"/>
        <w:jc w:val="center"/>
      </w:pPr>
      <w:r w:rsidRPr="002A1136">
        <w:rPr>
          <w:i/>
        </w:rPr>
        <w:t>These notes form part of the financial statements</w:t>
      </w:r>
      <w:r w:rsidRPr="002A1136">
        <w:rPr>
          <w:rFonts w:ascii="Times New Roman" w:hAnsi="Times New Roman"/>
          <w:i/>
          <w:iCs/>
          <w:color w:val="000000"/>
          <w:sz w:val="16"/>
          <w:szCs w:val="16"/>
        </w:rPr>
        <w:br w:type="page"/>
      </w:r>
    </w:p>
    <w:p w:rsidR="008F4A4A" w:rsidRPr="002A1136" w:rsidRDefault="008F4A4A" w:rsidP="008F4A4A">
      <w:pPr>
        <w:jc w:val="both"/>
        <w:rPr>
          <w:sz w:val="48"/>
        </w:rPr>
      </w:pPr>
      <w:r w:rsidRPr="002A1136">
        <w:rPr>
          <w:sz w:val="48"/>
        </w:rPr>
        <w:lastRenderedPageBreak/>
        <w:t>Notes to the Financial Statements</w:t>
      </w:r>
    </w:p>
    <w:p w:rsidR="008F4A4A" w:rsidRDefault="000C0AED" w:rsidP="008F4A4A">
      <w:pPr>
        <w:jc w:val="both"/>
        <w:rPr>
          <w:b/>
        </w:rPr>
      </w:pPr>
      <w:r>
        <w:rPr>
          <w:b/>
        </w:rPr>
        <w:t xml:space="preserve">For the Year ended 30 June </w:t>
      </w:r>
      <w:r w:rsidR="00985FF4">
        <w:rPr>
          <w:b/>
        </w:rPr>
        <w:t>2015</w:t>
      </w:r>
    </w:p>
    <w:p w:rsidR="008F4A4A" w:rsidRPr="00FC5AAD" w:rsidRDefault="008F4A4A" w:rsidP="008F4A4A">
      <w:pPr>
        <w:widowControl w:val="0"/>
        <w:autoSpaceDE w:val="0"/>
        <w:autoSpaceDN w:val="0"/>
        <w:adjustRightInd w:val="0"/>
        <w:spacing w:before="240"/>
        <w:rPr>
          <w:rFonts w:cstheme="minorHAnsi"/>
          <w:sz w:val="32"/>
        </w:rPr>
      </w:pPr>
      <w:r w:rsidRPr="00FC5AAD">
        <w:rPr>
          <w:rFonts w:cstheme="minorHAnsi"/>
          <w:sz w:val="32"/>
        </w:rPr>
        <w:t>14.</w:t>
      </w:r>
      <w:r w:rsidR="000B4B10">
        <w:rPr>
          <w:rFonts w:cstheme="minorHAnsi"/>
          <w:sz w:val="32"/>
        </w:rPr>
        <w:t xml:space="preserve"> </w:t>
      </w:r>
      <w:r w:rsidRPr="00FC5AAD">
        <w:rPr>
          <w:rFonts w:cstheme="minorHAnsi"/>
          <w:sz w:val="32"/>
        </w:rPr>
        <w:t xml:space="preserve">Financial Risk </w:t>
      </w:r>
      <w:r>
        <w:rPr>
          <w:rFonts w:cstheme="minorHAnsi"/>
          <w:sz w:val="32"/>
        </w:rPr>
        <w:t>Management (c</w:t>
      </w:r>
      <w:r w:rsidRPr="00FC5AAD">
        <w:rPr>
          <w:rFonts w:cstheme="minorHAnsi"/>
          <w:sz w:val="32"/>
        </w:rPr>
        <w:t>ontinued)</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nsitivity analysis"/>
      </w:tblPr>
      <w:tblGrid>
        <w:gridCol w:w="5508"/>
        <w:gridCol w:w="1910"/>
        <w:gridCol w:w="1767"/>
      </w:tblGrid>
      <w:tr w:rsidR="00D2400B" w:rsidRPr="009B1FC1" w:rsidTr="002A1136">
        <w:trPr>
          <w:cnfStyle w:val="100000000000" w:firstRow="1" w:lastRow="0" w:firstColumn="0" w:lastColumn="0" w:oddVBand="0" w:evenVBand="0" w:oddHBand="0" w:evenHBand="0" w:firstRowFirstColumn="0" w:firstRowLastColumn="0" w:lastRowFirstColumn="0" w:lastRowLastColumn="0"/>
          <w:tblHeader/>
          <w:jc w:val="center"/>
        </w:trPr>
        <w:tc>
          <w:tcPr>
            <w:tcW w:w="5508" w:type="dxa"/>
            <w:vAlign w:val="bottom"/>
          </w:tcPr>
          <w:p w:rsidR="00D2400B" w:rsidRPr="00522D47" w:rsidRDefault="00D2400B" w:rsidP="002A1136">
            <w:pPr>
              <w:ind w:left="567"/>
            </w:pPr>
          </w:p>
        </w:tc>
        <w:tc>
          <w:tcPr>
            <w:tcW w:w="1910" w:type="dxa"/>
            <w:vAlign w:val="bottom"/>
          </w:tcPr>
          <w:p w:rsidR="00D2400B" w:rsidRPr="00522D47" w:rsidRDefault="00D2400B" w:rsidP="002A1136">
            <w:pPr>
              <w:ind w:left="567"/>
              <w:jc w:val="right"/>
            </w:pPr>
            <w:r w:rsidRPr="00522D47">
              <w:t>Profit</w:t>
            </w:r>
            <w:r w:rsidR="00467844" w:rsidRPr="00522D47">
              <w:br/>
              <w:t>$</w:t>
            </w:r>
          </w:p>
        </w:tc>
        <w:tc>
          <w:tcPr>
            <w:tcW w:w="1767" w:type="dxa"/>
            <w:vAlign w:val="bottom"/>
          </w:tcPr>
          <w:p w:rsidR="00D2400B" w:rsidRPr="00522D47" w:rsidRDefault="00D2400B" w:rsidP="002A1136">
            <w:pPr>
              <w:ind w:left="567"/>
              <w:jc w:val="right"/>
            </w:pPr>
            <w:r w:rsidRPr="00522D47">
              <w:t>Equity</w:t>
            </w:r>
            <w:r w:rsidR="00467844" w:rsidRPr="00522D47">
              <w:br/>
              <w:t>$</w:t>
            </w:r>
          </w:p>
        </w:tc>
      </w:tr>
      <w:tr w:rsidR="00D2400B" w:rsidRPr="009B1FC1" w:rsidTr="002A1136">
        <w:trPr>
          <w:jc w:val="center"/>
        </w:trPr>
        <w:tc>
          <w:tcPr>
            <w:tcW w:w="5508" w:type="dxa"/>
            <w:vAlign w:val="bottom"/>
          </w:tcPr>
          <w:p w:rsidR="00D2400B" w:rsidRPr="00522D47" w:rsidRDefault="000C0AED" w:rsidP="002A1136">
            <w:pPr>
              <w:ind w:left="567"/>
              <w:rPr>
                <w:b/>
              </w:rPr>
            </w:pPr>
            <w:r w:rsidRPr="00522D47">
              <w:rPr>
                <w:b/>
              </w:rPr>
              <w:t xml:space="preserve">Year ended 30 June </w:t>
            </w:r>
            <w:r w:rsidR="00985FF4" w:rsidRPr="00522D47">
              <w:rPr>
                <w:b/>
              </w:rPr>
              <w:t>2015</w:t>
            </w:r>
          </w:p>
        </w:tc>
        <w:tc>
          <w:tcPr>
            <w:tcW w:w="1910" w:type="dxa"/>
            <w:vAlign w:val="bottom"/>
          </w:tcPr>
          <w:p w:rsidR="00D2400B" w:rsidRPr="00522D47" w:rsidRDefault="00D2400B" w:rsidP="002A1136">
            <w:pPr>
              <w:ind w:left="567"/>
              <w:jc w:val="right"/>
            </w:pPr>
          </w:p>
        </w:tc>
        <w:tc>
          <w:tcPr>
            <w:tcW w:w="1767" w:type="dxa"/>
            <w:vAlign w:val="bottom"/>
          </w:tcPr>
          <w:p w:rsidR="00D2400B" w:rsidRPr="00522D47" w:rsidRDefault="00D2400B" w:rsidP="002A1136">
            <w:pPr>
              <w:ind w:left="567"/>
              <w:jc w:val="right"/>
            </w:pPr>
          </w:p>
        </w:tc>
      </w:tr>
      <w:tr w:rsidR="00D2400B" w:rsidRPr="009B1FC1" w:rsidTr="002A1136">
        <w:trPr>
          <w:jc w:val="center"/>
        </w:trPr>
        <w:tc>
          <w:tcPr>
            <w:tcW w:w="5508" w:type="dxa"/>
            <w:vAlign w:val="bottom"/>
          </w:tcPr>
          <w:p w:rsidR="00D2400B" w:rsidRPr="00522D47" w:rsidRDefault="00D2400B" w:rsidP="002A1136">
            <w:pPr>
              <w:ind w:left="567"/>
            </w:pPr>
            <w:r w:rsidRPr="00522D47">
              <w:t>+/- 2% in interest rate</w:t>
            </w:r>
          </w:p>
        </w:tc>
        <w:tc>
          <w:tcPr>
            <w:tcW w:w="1910" w:type="dxa"/>
            <w:vAlign w:val="bottom"/>
          </w:tcPr>
          <w:p w:rsidR="00D2400B" w:rsidRPr="00522D47" w:rsidRDefault="00A31F05" w:rsidP="002A1136">
            <w:pPr>
              <w:ind w:left="567"/>
              <w:jc w:val="right"/>
            </w:pPr>
            <w:r w:rsidRPr="00522D47">
              <w:t>21,532</w:t>
            </w:r>
          </w:p>
        </w:tc>
        <w:tc>
          <w:tcPr>
            <w:tcW w:w="1767" w:type="dxa"/>
            <w:vAlign w:val="bottom"/>
          </w:tcPr>
          <w:p w:rsidR="00D2400B" w:rsidRPr="00522D47" w:rsidRDefault="00A31F05" w:rsidP="002A1136">
            <w:pPr>
              <w:ind w:left="567"/>
              <w:jc w:val="right"/>
            </w:pPr>
            <w:r w:rsidRPr="00522D47">
              <w:t>21,532</w:t>
            </w:r>
          </w:p>
        </w:tc>
      </w:tr>
      <w:tr w:rsidR="00D2400B" w:rsidRPr="009B1FC1" w:rsidTr="002A1136">
        <w:trPr>
          <w:jc w:val="center"/>
        </w:trPr>
        <w:tc>
          <w:tcPr>
            <w:tcW w:w="5508" w:type="dxa"/>
            <w:vAlign w:val="bottom"/>
          </w:tcPr>
          <w:p w:rsidR="00D2400B" w:rsidRPr="00522D47" w:rsidRDefault="00D2400B" w:rsidP="002A1136">
            <w:pPr>
              <w:ind w:left="567"/>
            </w:pPr>
            <w:r w:rsidRPr="00522D47">
              <w:t>+/- 10% in listed investments</w:t>
            </w:r>
          </w:p>
        </w:tc>
        <w:tc>
          <w:tcPr>
            <w:tcW w:w="1910" w:type="dxa"/>
            <w:vAlign w:val="bottom"/>
          </w:tcPr>
          <w:p w:rsidR="00D2400B" w:rsidRPr="00522D47" w:rsidRDefault="00A31F05" w:rsidP="002A1136">
            <w:pPr>
              <w:ind w:left="567"/>
              <w:jc w:val="right"/>
            </w:pPr>
            <w:r w:rsidRPr="00522D47">
              <w:t>461,880</w:t>
            </w:r>
          </w:p>
        </w:tc>
        <w:tc>
          <w:tcPr>
            <w:tcW w:w="1767" w:type="dxa"/>
            <w:vAlign w:val="bottom"/>
          </w:tcPr>
          <w:p w:rsidR="00D2400B" w:rsidRPr="00522D47" w:rsidRDefault="00A31F05" w:rsidP="002A1136">
            <w:pPr>
              <w:ind w:left="567"/>
              <w:jc w:val="right"/>
            </w:pPr>
            <w:r w:rsidRPr="00522D47">
              <w:t>461,880</w:t>
            </w:r>
          </w:p>
        </w:tc>
      </w:tr>
      <w:tr w:rsidR="00D2400B" w:rsidRPr="009B1FC1" w:rsidTr="002A1136">
        <w:trPr>
          <w:jc w:val="center"/>
        </w:trPr>
        <w:tc>
          <w:tcPr>
            <w:tcW w:w="5508" w:type="dxa"/>
            <w:vAlign w:val="bottom"/>
          </w:tcPr>
          <w:p w:rsidR="00D2400B" w:rsidRPr="00467844" w:rsidRDefault="000C0AED" w:rsidP="002A1136">
            <w:pPr>
              <w:ind w:left="567"/>
              <w:rPr>
                <w:b/>
              </w:rPr>
            </w:pPr>
            <w:r>
              <w:rPr>
                <w:b/>
              </w:rPr>
              <w:t xml:space="preserve">Year ended 30 June </w:t>
            </w:r>
            <w:r w:rsidR="00985FF4">
              <w:rPr>
                <w:b/>
              </w:rPr>
              <w:t>2014</w:t>
            </w:r>
          </w:p>
        </w:tc>
        <w:tc>
          <w:tcPr>
            <w:tcW w:w="1910" w:type="dxa"/>
            <w:vAlign w:val="bottom"/>
          </w:tcPr>
          <w:p w:rsidR="00D2400B" w:rsidRPr="00B01C65" w:rsidRDefault="00D2400B" w:rsidP="002A1136">
            <w:pPr>
              <w:ind w:left="567"/>
              <w:jc w:val="right"/>
            </w:pPr>
          </w:p>
        </w:tc>
        <w:tc>
          <w:tcPr>
            <w:tcW w:w="1767" w:type="dxa"/>
            <w:vAlign w:val="bottom"/>
          </w:tcPr>
          <w:p w:rsidR="00D2400B" w:rsidRPr="00B01C65" w:rsidRDefault="00D2400B" w:rsidP="002A1136">
            <w:pPr>
              <w:ind w:left="567"/>
              <w:jc w:val="right"/>
            </w:pPr>
          </w:p>
        </w:tc>
      </w:tr>
      <w:tr w:rsidR="00FB091A" w:rsidRPr="009B1FC1" w:rsidTr="002A1136">
        <w:trPr>
          <w:jc w:val="center"/>
        </w:trPr>
        <w:tc>
          <w:tcPr>
            <w:tcW w:w="5508" w:type="dxa"/>
            <w:vAlign w:val="bottom"/>
          </w:tcPr>
          <w:p w:rsidR="00FB091A" w:rsidRPr="00B01C65" w:rsidRDefault="00FB091A" w:rsidP="002A1136">
            <w:pPr>
              <w:ind w:left="567"/>
            </w:pPr>
            <w:r w:rsidRPr="00B01C65">
              <w:t>+/- 2% in interest rate</w:t>
            </w:r>
          </w:p>
        </w:tc>
        <w:tc>
          <w:tcPr>
            <w:tcW w:w="1910" w:type="dxa"/>
            <w:vAlign w:val="bottom"/>
          </w:tcPr>
          <w:p w:rsidR="00FB091A" w:rsidRPr="00D65BE6" w:rsidRDefault="00FB091A" w:rsidP="00BC7B9F">
            <w:pPr>
              <w:ind w:left="567"/>
              <w:jc w:val="right"/>
            </w:pPr>
            <w:r>
              <w:t>41,065</w:t>
            </w:r>
          </w:p>
        </w:tc>
        <w:tc>
          <w:tcPr>
            <w:tcW w:w="1767" w:type="dxa"/>
            <w:vAlign w:val="bottom"/>
          </w:tcPr>
          <w:p w:rsidR="00FB091A" w:rsidRPr="00D65BE6" w:rsidRDefault="00A31F05" w:rsidP="00BC7B9F">
            <w:pPr>
              <w:ind w:left="567"/>
              <w:jc w:val="right"/>
            </w:pPr>
            <w:r>
              <w:t>41,065</w:t>
            </w:r>
          </w:p>
        </w:tc>
      </w:tr>
      <w:tr w:rsidR="00FB091A" w:rsidRPr="009B1FC1" w:rsidTr="002A1136">
        <w:trPr>
          <w:jc w:val="center"/>
        </w:trPr>
        <w:tc>
          <w:tcPr>
            <w:tcW w:w="5508" w:type="dxa"/>
            <w:vAlign w:val="bottom"/>
          </w:tcPr>
          <w:p w:rsidR="00FB091A" w:rsidRPr="00B01C65" w:rsidRDefault="00FB091A" w:rsidP="002A1136">
            <w:pPr>
              <w:ind w:left="567"/>
            </w:pPr>
            <w:r w:rsidRPr="00B01C65">
              <w:t>+/- 10% in listed investments</w:t>
            </w:r>
          </w:p>
        </w:tc>
        <w:tc>
          <w:tcPr>
            <w:tcW w:w="1910" w:type="dxa"/>
            <w:tcBorders>
              <w:bottom w:val="single" w:sz="4" w:space="0" w:color="auto"/>
            </w:tcBorders>
            <w:vAlign w:val="bottom"/>
          </w:tcPr>
          <w:p w:rsidR="00FB091A" w:rsidRPr="00B01C65" w:rsidRDefault="00FB091A" w:rsidP="00BC7B9F">
            <w:pPr>
              <w:ind w:left="567"/>
              <w:jc w:val="right"/>
            </w:pPr>
            <w:r>
              <w:t>489,219</w:t>
            </w:r>
          </w:p>
        </w:tc>
        <w:tc>
          <w:tcPr>
            <w:tcW w:w="1767" w:type="dxa"/>
            <w:tcBorders>
              <w:bottom w:val="single" w:sz="4" w:space="0" w:color="auto"/>
            </w:tcBorders>
            <w:vAlign w:val="bottom"/>
          </w:tcPr>
          <w:p w:rsidR="00FB091A" w:rsidRPr="00B01C65" w:rsidRDefault="00A31F05" w:rsidP="00BC7B9F">
            <w:pPr>
              <w:ind w:left="567"/>
              <w:jc w:val="right"/>
            </w:pPr>
            <w:r>
              <w:t>489,219</w:t>
            </w:r>
          </w:p>
        </w:tc>
      </w:tr>
    </w:tbl>
    <w:p w:rsidR="00D2400B" w:rsidRPr="00796E81" w:rsidRDefault="00D2400B" w:rsidP="002A1136">
      <w:pPr>
        <w:widowControl w:val="0"/>
        <w:tabs>
          <w:tab w:val="left" w:pos="1176"/>
          <w:tab w:val="left" w:pos="7230"/>
          <w:tab w:val="left" w:pos="9356"/>
        </w:tabs>
        <w:autoSpaceDE w:val="0"/>
        <w:autoSpaceDN w:val="0"/>
        <w:adjustRightInd w:val="0"/>
        <w:spacing w:before="55" w:after="0" w:line="240" w:lineRule="auto"/>
        <w:ind w:left="567" w:right="269"/>
        <w:rPr>
          <w:rFonts w:ascii="Times New Roman" w:hAnsi="Times New Roman"/>
          <w:u w:val="single"/>
        </w:rPr>
      </w:pPr>
    </w:p>
    <w:p w:rsidR="00D2400B" w:rsidRPr="007C6C0F" w:rsidRDefault="00D2400B" w:rsidP="008F4A4A">
      <w:pPr>
        <w:widowControl w:val="0"/>
        <w:autoSpaceDE w:val="0"/>
        <w:autoSpaceDN w:val="0"/>
        <w:adjustRightInd w:val="0"/>
        <w:spacing w:before="55" w:after="240" w:line="240" w:lineRule="auto"/>
        <w:ind w:left="720" w:right="266"/>
        <w:rPr>
          <w:rFonts w:cstheme="minorHAnsi"/>
          <w:highlight w:val="yellow"/>
        </w:rPr>
      </w:pPr>
      <w:r w:rsidRPr="007C6C0F">
        <w:rPr>
          <w:rFonts w:cstheme="minorHAnsi"/>
        </w:rPr>
        <w:t>This sensitivity analysis has been performed on the assumption that all other variables remain unchanged.</w:t>
      </w:r>
    </w:p>
    <w:p w:rsidR="00D2400B" w:rsidRPr="00F104FF" w:rsidRDefault="00EC6D27" w:rsidP="00EC6D27">
      <w:pPr>
        <w:pStyle w:val="Heading2"/>
        <w:rPr>
          <w:b w:val="0"/>
        </w:rPr>
      </w:pPr>
      <w:r>
        <w:rPr>
          <w:b w:val="0"/>
        </w:rPr>
        <w:t xml:space="preserve">15. </w:t>
      </w:r>
      <w:r w:rsidR="007C6C0F" w:rsidRPr="00F104FF">
        <w:rPr>
          <w:b w:val="0"/>
        </w:rPr>
        <w:t>Capital management</w:t>
      </w:r>
    </w:p>
    <w:p w:rsidR="00D2400B" w:rsidRPr="00854907" w:rsidRDefault="00D2400B" w:rsidP="00786E0F">
      <w:r w:rsidRPr="00854907">
        <w:t>Management controls the capital of the entity to ensure that adequate cash flows are generated to fund its</w:t>
      </w:r>
      <w:r>
        <w:t xml:space="preserve"> </w:t>
      </w:r>
      <w:r w:rsidRPr="00854907">
        <w:t>ongoing programs and that returns from investments are maximized. The finance committee ensures that</w:t>
      </w:r>
      <w:r w:rsidRPr="00854907">
        <w:tab/>
        <w:t>overall risk management strategy is in line with this objective.</w:t>
      </w:r>
    </w:p>
    <w:p w:rsidR="00D2400B" w:rsidRPr="00854907" w:rsidRDefault="00D2400B" w:rsidP="00786E0F">
      <w:r w:rsidRPr="00854907">
        <w:t>The finance committee operates under policies approved by the Board</w:t>
      </w:r>
      <w:r>
        <w:t xml:space="preserve"> of Directors. Risk management </w:t>
      </w:r>
      <w:r w:rsidRPr="00854907">
        <w:t>policies are approved and reviewed by the Board on a regular basis.</w:t>
      </w:r>
    </w:p>
    <w:p w:rsidR="00D2400B" w:rsidRPr="00854907" w:rsidRDefault="00D2400B" w:rsidP="00786E0F">
      <w:r w:rsidRPr="00854907">
        <w:t>The entity’s capital consists of cash and cash equivalent assets, supported by financial assets.</w:t>
      </w:r>
    </w:p>
    <w:p w:rsidR="00D2400B" w:rsidRPr="00854907" w:rsidRDefault="00D2400B" w:rsidP="00786E0F">
      <w:r w:rsidRPr="00854907">
        <w:t>Management effectively manages the entity’s capital by assessing the entity’s</w:t>
      </w:r>
      <w:r>
        <w:t xml:space="preserve"> financial risks and responding </w:t>
      </w:r>
      <w:r w:rsidRPr="00854907">
        <w:t>to changes in</w:t>
      </w:r>
      <w:r>
        <w:t xml:space="preserve"> these risks and in the market.</w:t>
      </w:r>
    </w:p>
    <w:p w:rsidR="00D2400B" w:rsidRPr="00854907" w:rsidRDefault="00D2400B" w:rsidP="00786E0F">
      <w:r w:rsidRPr="00854907">
        <w:t xml:space="preserve">There have been no changes to the strategy adopted by management to control </w:t>
      </w:r>
      <w:r>
        <w:t xml:space="preserve">the capital of the entity since </w:t>
      </w:r>
      <w:r w:rsidRPr="00854907">
        <w:t>the previous year. The entity does not have any debt and debt facilities.</w:t>
      </w:r>
    </w:p>
    <w:p w:rsidR="00D2400B" w:rsidRDefault="00D2400B" w:rsidP="00712543">
      <w:pPr>
        <w:spacing w:before="2280"/>
        <w:jc w:val="center"/>
        <w:rPr>
          <w:rFonts w:ascii="Times New Roman" w:hAnsi="Times New Roman"/>
          <w:i/>
          <w:iCs/>
          <w:color w:val="000000"/>
          <w:sz w:val="16"/>
          <w:szCs w:val="16"/>
        </w:rPr>
      </w:pPr>
      <w:r w:rsidRPr="007C6C0F">
        <w:rPr>
          <w:i/>
        </w:rPr>
        <w:t>These notes form part of the financial statements</w:t>
      </w:r>
      <w:r>
        <w:rPr>
          <w:rFonts w:ascii="Times New Roman" w:hAnsi="Times New Roman"/>
          <w:i/>
          <w:iCs/>
          <w:color w:val="000000"/>
          <w:sz w:val="16"/>
          <w:szCs w:val="16"/>
        </w:rPr>
        <w:br w:type="page"/>
      </w:r>
    </w:p>
    <w:p w:rsidR="007C6C0F" w:rsidRPr="00E171F7" w:rsidRDefault="007C6C0F" w:rsidP="00786E0F">
      <w:pPr>
        <w:rPr>
          <w:sz w:val="48"/>
        </w:rPr>
      </w:pPr>
      <w:r w:rsidRPr="00E171F7">
        <w:rPr>
          <w:sz w:val="48"/>
        </w:rPr>
        <w:lastRenderedPageBreak/>
        <w:t>Notes to the Financial Statements</w:t>
      </w:r>
    </w:p>
    <w:p w:rsidR="007C6C0F" w:rsidRPr="00E171F7" w:rsidRDefault="007C6C0F" w:rsidP="00786E0F">
      <w:pPr>
        <w:rPr>
          <w:b/>
          <w:sz w:val="24"/>
          <w:szCs w:val="24"/>
        </w:rPr>
      </w:pPr>
      <w:r w:rsidRPr="00E171F7">
        <w:rPr>
          <w:b/>
        </w:rPr>
        <w:t xml:space="preserve">For the Year ended 30 June </w:t>
      </w:r>
      <w:r w:rsidR="00985FF4">
        <w:rPr>
          <w:b/>
        </w:rPr>
        <w:t>2015</w:t>
      </w:r>
    </w:p>
    <w:p w:rsidR="00D2400B" w:rsidRPr="00FC5AAD" w:rsidRDefault="00EC6D27" w:rsidP="00EC6D27">
      <w:pPr>
        <w:pStyle w:val="Heading2"/>
        <w:rPr>
          <w:b w:val="0"/>
        </w:rPr>
      </w:pPr>
      <w:r>
        <w:rPr>
          <w:b w:val="0"/>
        </w:rPr>
        <w:t xml:space="preserve">16. </w:t>
      </w:r>
      <w:r w:rsidR="00D2400B" w:rsidRPr="00FC5AAD">
        <w:rPr>
          <w:b w:val="0"/>
        </w:rPr>
        <w:t xml:space="preserve">Operating Lease Commitments </w:t>
      </w:r>
    </w:p>
    <w:p w:rsidR="00D2400B" w:rsidRPr="004D2CB8" w:rsidRDefault="00D2400B" w:rsidP="00786E0F">
      <w:r w:rsidRPr="004D2CB8">
        <w:t>Non-cancellable operating lease contracted for not capitalised in the financial statements</w:t>
      </w:r>
    </w:p>
    <w:p w:rsidR="00D2400B" w:rsidRPr="00A46163" w:rsidRDefault="00D2400B" w:rsidP="00786E0F">
      <w:r w:rsidRPr="00A46163">
        <w:t>The property lease commitment is a non-cancellable sub lease under the head lease for the office contracted for but not capitalised in the financial statements with a two-year term expiring in 31 January 2015. There is a 3- year option on the lease.</w:t>
      </w:r>
    </w:p>
    <w:p w:rsidR="003A5A64" w:rsidRPr="004D2CB8" w:rsidRDefault="003A5A64" w:rsidP="00786E0F">
      <w:r w:rsidRPr="00A46163">
        <w:t>The lease expired on 31 January 2015 and is now a monthly holdover</w:t>
      </w:r>
      <w:r w:rsidR="002B590B" w:rsidRPr="00A46163">
        <w:t xml:space="preserve"> arrangement as per the lease.</w:t>
      </w:r>
      <w:r w:rsidR="002B590B">
        <w:t xml:space="preserve"> </w:t>
      </w:r>
    </w:p>
    <w:p w:rsidR="00D2400B" w:rsidRDefault="00D2400B" w:rsidP="00786E0F">
      <w:r w:rsidRPr="004D2CB8">
        <w:t xml:space="preserve">No capital commitment exist in regards to the operating lease commitments at year – end. Increase in lease commitment may occur in line with CPI. </w:t>
      </w:r>
    </w:p>
    <w:p w:rsidR="00D2400B" w:rsidRPr="0070206E" w:rsidRDefault="00D2400B" w:rsidP="00786E0F">
      <w:pPr>
        <w:rPr>
          <w:highlight w:val="yellow"/>
        </w:rPr>
      </w:pPr>
      <w:r w:rsidRPr="004D2CB8">
        <w:t>The car park lease commitment is a non-cancellable license contracted for but not capitalised in the financial statements with a one-year term.</w:t>
      </w:r>
    </w:p>
    <w:p w:rsidR="00D2400B" w:rsidRPr="00FC5AAD" w:rsidRDefault="00EC6D27" w:rsidP="00EC6D27">
      <w:pPr>
        <w:pStyle w:val="Heading2"/>
        <w:rPr>
          <w:b w:val="0"/>
        </w:rPr>
      </w:pPr>
      <w:r>
        <w:rPr>
          <w:b w:val="0"/>
        </w:rPr>
        <w:t>17.</w:t>
      </w:r>
      <w:r w:rsidR="000B4B10">
        <w:rPr>
          <w:b w:val="0"/>
        </w:rPr>
        <w:t xml:space="preserve"> </w:t>
      </w:r>
      <w:r w:rsidR="00D2400B" w:rsidRPr="00FC5AAD">
        <w:rPr>
          <w:b w:val="0"/>
        </w:rPr>
        <w:t>Key Management Personnel</w:t>
      </w:r>
    </w:p>
    <w:p w:rsidR="00D2400B" w:rsidRPr="003C5D3D" w:rsidRDefault="00D2400B" w:rsidP="00786E0F">
      <w:r w:rsidRPr="003C5D3D">
        <w:t>The following responsible positions were key management personnel of the entity at any time during the reporting</w:t>
      </w:r>
      <w:r>
        <w:t xml:space="preserve"> p</w:t>
      </w:r>
      <w:r w:rsidRPr="003C5D3D">
        <w:t>eriod:</w:t>
      </w:r>
    </w:p>
    <w:p w:rsidR="007C6C0F" w:rsidRDefault="00D2400B" w:rsidP="00786E0F">
      <w:pPr>
        <w:pStyle w:val="ListParagraph"/>
        <w:numPr>
          <w:ilvl w:val="0"/>
          <w:numId w:val="29"/>
        </w:numPr>
        <w:ind w:left="720"/>
      </w:pPr>
      <w:r w:rsidRPr="003C5D3D">
        <w:t>Chief Executive Officer</w:t>
      </w:r>
    </w:p>
    <w:p w:rsidR="00D2400B" w:rsidRPr="003C5D3D" w:rsidRDefault="00D2400B" w:rsidP="00786E0F">
      <w:pPr>
        <w:pStyle w:val="ListParagraph"/>
        <w:numPr>
          <w:ilvl w:val="0"/>
          <w:numId w:val="29"/>
        </w:numPr>
        <w:ind w:left="720"/>
      </w:pPr>
      <w:r w:rsidRPr="003C5D3D">
        <w:t>Deputy Chief Executive Officer</w:t>
      </w:r>
    </w:p>
    <w:p w:rsidR="00D2400B" w:rsidRPr="003C5D3D" w:rsidRDefault="007C6C0F" w:rsidP="00786E0F">
      <w:pPr>
        <w:rPr>
          <w:b/>
        </w:rPr>
      </w:pPr>
      <w:r>
        <w:rPr>
          <w:b/>
        </w:rPr>
        <w:t>Transactions with k</w:t>
      </w:r>
      <w:r w:rsidR="00D2400B" w:rsidRPr="003C5D3D">
        <w:rPr>
          <w:b/>
        </w:rPr>
        <w:t>ey management personnel</w:t>
      </w:r>
    </w:p>
    <w:p w:rsidR="00D2400B" w:rsidRDefault="00D2400B" w:rsidP="00786E0F">
      <w:pPr>
        <w:spacing w:after="360"/>
      </w:pPr>
      <w:r w:rsidRPr="003C5D3D">
        <w:t>The key management personnel compensation included in employee expenses are as follows:</w:t>
      </w: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key management personnel compensation"/>
      </w:tblPr>
      <w:tblGrid>
        <w:gridCol w:w="6297"/>
        <w:gridCol w:w="1444"/>
        <w:gridCol w:w="1444"/>
      </w:tblGrid>
      <w:tr w:rsidR="00D2400B" w:rsidRPr="009B1FC1" w:rsidTr="00786E0F">
        <w:trPr>
          <w:cnfStyle w:val="100000000000" w:firstRow="1" w:lastRow="0" w:firstColumn="0" w:lastColumn="0" w:oddVBand="0" w:evenVBand="0" w:oddHBand="0" w:evenHBand="0" w:firstRowFirstColumn="0" w:firstRowLastColumn="0" w:lastRowFirstColumn="0" w:lastRowLastColumn="0"/>
          <w:cantSplit/>
          <w:tblHeader/>
          <w:jc w:val="center"/>
        </w:trPr>
        <w:tc>
          <w:tcPr>
            <w:tcW w:w="5235" w:type="dxa"/>
          </w:tcPr>
          <w:p w:rsidR="00D2400B" w:rsidRPr="009B1FC1" w:rsidRDefault="00A20F2F" w:rsidP="00A20F2F">
            <w:pPr>
              <w:spacing w:after="60"/>
            </w:pPr>
            <w:r>
              <w:t>Key management personnel compensation</w:t>
            </w:r>
          </w:p>
        </w:tc>
        <w:tc>
          <w:tcPr>
            <w:tcW w:w="1200" w:type="dxa"/>
          </w:tcPr>
          <w:p w:rsidR="00D2400B" w:rsidRPr="009B1FC1" w:rsidRDefault="00985FF4" w:rsidP="000C0AED">
            <w:pPr>
              <w:spacing w:after="60"/>
              <w:jc w:val="right"/>
              <w:rPr>
                <w:sz w:val="24"/>
                <w:szCs w:val="24"/>
              </w:rPr>
            </w:pPr>
            <w:r>
              <w:t>2015</w:t>
            </w:r>
            <w:r w:rsidR="007C6C0F">
              <w:br/>
              <w:t>$</w:t>
            </w:r>
          </w:p>
        </w:tc>
        <w:tc>
          <w:tcPr>
            <w:tcW w:w="1200" w:type="dxa"/>
          </w:tcPr>
          <w:p w:rsidR="00D2400B" w:rsidRPr="009B1FC1" w:rsidRDefault="00985FF4" w:rsidP="000C0AED">
            <w:pPr>
              <w:spacing w:after="60"/>
              <w:jc w:val="right"/>
            </w:pPr>
            <w:r>
              <w:t>2014</w:t>
            </w:r>
            <w:r w:rsidR="007C6C0F">
              <w:br/>
              <w:t>$</w:t>
            </w:r>
          </w:p>
        </w:tc>
      </w:tr>
      <w:tr w:rsidR="00D2400B" w:rsidRPr="009B1FC1" w:rsidTr="00786E0F">
        <w:trPr>
          <w:cantSplit/>
          <w:jc w:val="center"/>
        </w:trPr>
        <w:tc>
          <w:tcPr>
            <w:tcW w:w="5235" w:type="dxa"/>
          </w:tcPr>
          <w:p w:rsidR="00D2400B" w:rsidRPr="009B1FC1" w:rsidRDefault="00D2400B" w:rsidP="00A20F2F">
            <w:pPr>
              <w:spacing w:after="60"/>
            </w:pPr>
            <w:r w:rsidRPr="009B1FC1">
              <w:t>Short-term employee benefits</w:t>
            </w:r>
          </w:p>
        </w:tc>
        <w:tc>
          <w:tcPr>
            <w:tcW w:w="1200" w:type="dxa"/>
          </w:tcPr>
          <w:p w:rsidR="00D2400B" w:rsidRPr="00A46163" w:rsidRDefault="00EC54E5" w:rsidP="00EC54E5">
            <w:pPr>
              <w:spacing w:after="60"/>
              <w:jc w:val="right"/>
            </w:pPr>
            <w:r w:rsidRPr="00A46163">
              <w:t>365,963</w:t>
            </w:r>
          </w:p>
        </w:tc>
        <w:tc>
          <w:tcPr>
            <w:tcW w:w="1200" w:type="dxa"/>
          </w:tcPr>
          <w:p w:rsidR="00D2400B" w:rsidRPr="00A46163" w:rsidRDefault="00FB091A" w:rsidP="0078384F">
            <w:pPr>
              <w:spacing w:after="60"/>
              <w:jc w:val="right"/>
            </w:pPr>
            <w:r w:rsidRPr="00A46163">
              <w:t>335,326</w:t>
            </w:r>
          </w:p>
        </w:tc>
      </w:tr>
    </w:tbl>
    <w:p w:rsidR="00D2400B" w:rsidRPr="00F104FF" w:rsidRDefault="00EC6D27" w:rsidP="00EC6D27">
      <w:pPr>
        <w:pStyle w:val="Heading2"/>
        <w:rPr>
          <w:b w:val="0"/>
          <w:sz w:val="36"/>
        </w:rPr>
      </w:pPr>
      <w:r>
        <w:rPr>
          <w:b w:val="0"/>
        </w:rPr>
        <w:t>18.</w:t>
      </w:r>
      <w:r w:rsidR="000B4B10">
        <w:rPr>
          <w:b w:val="0"/>
        </w:rPr>
        <w:t xml:space="preserve"> </w:t>
      </w:r>
      <w:r w:rsidR="00D2400B" w:rsidRPr="00FC5AAD">
        <w:rPr>
          <w:b w:val="0"/>
        </w:rPr>
        <w:t>Non Key Management Personnel Disclosures</w:t>
      </w:r>
    </w:p>
    <w:p w:rsidR="00D2400B" w:rsidRPr="005B134F" w:rsidRDefault="00D2400B" w:rsidP="00786E0F">
      <w:pPr>
        <w:widowControl w:val="0"/>
        <w:tabs>
          <w:tab w:val="left" w:pos="567"/>
          <w:tab w:val="left" w:pos="1176"/>
          <w:tab w:val="left" w:pos="1729"/>
        </w:tabs>
        <w:autoSpaceDE w:val="0"/>
        <w:autoSpaceDN w:val="0"/>
        <w:adjustRightInd w:val="0"/>
        <w:spacing w:before="55" w:after="0" w:line="240" w:lineRule="auto"/>
        <w:ind w:right="269"/>
        <w:rPr>
          <w:rFonts w:ascii="Times New Roman" w:hAnsi="Times New Roman"/>
          <w:b/>
          <w:sz w:val="24"/>
          <w:szCs w:val="24"/>
        </w:rPr>
      </w:pPr>
    </w:p>
    <w:p w:rsidR="00D2400B" w:rsidRPr="00A20F2F" w:rsidRDefault="00D2400B" w:rsidP="00786E0F">
      <w:pPr>
        <w:rPr>
          <w:b/>
        </w:rPr>
      </w:pPr>
      <w:r w:rsidRPr="00A20F2F">
        <w:rPr>
          <w:b/>
        </w:rPr>
        <w:t>Identity of related parties</w:t>
      </w:r>
    </w:p>
    <w:p w:rsidR="00D2400B" w:rsidRPr="005B134F" w:rsidRDefault="00D2400B" w:rsidP="00786E0F">
      <w:r w:rsidRPr="005B134F">
        <w:t>The entity has a related party relationship with its directors.</w:t>
      </w:r>
    </w:p>
    <w:p w:rsidR="00D2400B" w:rsidRPr="00A20F2F" w:rsidRDefault="00D2400B" w:rsidP="00786E0F">
      <w:pPr>
        <w:rPr>
          <w:b/>
        </w:rPr>
      </w:pPr>
      <w:r w:rsidRPr="00A20F2F">
        <w:rPr>
          <w:b/>
        </w:rPr>
        <w:t>Transactions with key management personnel</w:t>
      </w:r>
    </w:p>
    <w:p w:rsidR="00D2400B" w:rsidRPr="006A78DC" w:rsidRDefault="00D2400B" w:rsidP="00786E0F">
      <w:r w:rsidRPr="005B134F">
        <w:t>All directors perform the</w:t>
      </w:r>
      <w:r>
        <w:t>ir duties on an honorary basis.</w:t>
      </w:r>
    </w:p>
    <w:p w:rsidR="00291C43" w:rsidRDefault="00D2400B" w:rsidP="00291C43">
      <w:pPr>
        <w:spacing w:before="720" w:after="0"/>
        <w:ind w:left="1134"/>
        <w:jc w:val="center"/>
        <w:rPr>
          <w:i/>
          <w:iCs/>
          <w:color w:val="000000"/>
          <w:szCs w:val="16"/>
        </w:rPr>
      </w:pPr>
      <w:r w:rsidRPr="00A20F2F">
        <w:rPr>
          <w:i/>
          <w:iCs/>
          <w:color w:val="000000"/>
          <w:szCs w:val="16"/>
        </w:rPr>
        <w:t>These notes form p</w:t>
      </w:r>
      <w:r w:rsidR="00291C43">
        <w:rPr>
          <w:i/>
          <w:iCs/>
          <w:color w:val="000000"/>
          <w:szCs w:val="16"/>
        </w:rPr>
        <w:t>art of the financial statements</w:t>
      </w:r>
    </w:p>
    <w:p w:rsidR="00291C43" w:rsidRDefault="00291C43">
      <w:pPr>
        <w:spacing w:after="200"/>
        <w:rPr>
          <w:i/>
          <w:iCs/>
          <w:color w:val="000000"/>
          <w:szCs w:val="16"/>
        </w:rPr>
      </w:pPr>
      <w:r>
        <w:rPr>
          <w:i/>
          <w:iCs/>
          <w:color w:val="000000"/>
          <w:szCs w:val="16"/>
        </w:rPr>
        <w:br w:type="page"/>
      </w:r>
    </w:p>
    <w:p w:rsidR="00D2400B" w:rsidRPr="00291C43" w:rsidRDefault="00D2400B" w:rsidP="00291C43">
      <w:pPr>
        <w:spacing w:before="1440" w:after="0"/>
        <w:ind w:left="1134"/>
        <w:jc w:val="center"/>
        <w:rPr>
          <w:i/>
          <w:iCs/>
          <w:color w:val="000000"/>
          <w:szCs w:val="16"/>
        </w:rPr>
      </w:pPr>
    </w:p>
    <w:p w:rsidR="00A20F2F" w:rsidRPr="00E171F7" w:rsidRDefault="00A20F2F" w:rsidP="00786E0F">
      <w:pPr>
        <w:rPr>
          <w:sz w:val="48"/>
        </w:rPr>
      </w:pPr>
      <w:r w:rsidRPr="00E171F7">
        <w:rPr>
          <w:sz w:val="48"/>
        </w:rPr>
        <w:t>Notes to the Financial Statements</w:t>
      </w:r>
    </w:p>
    <w:p w:rsidR="00A20F2F" w:rsidRPr="00E171F7" w:rsidRDefault="000C0AED" w:rsidP="00786E0F">
      <w:pPr>
        <w:spacing w:after="0"/>
        <w:rPr>
          <w:b/>
          <w:sz w:val="24"/>
          <w:szCs w:val="24"/>
        </w:rPr>
      </w:pPr>
      <w:r>
        <w:rPr>
          <w:b/>
        </w:rPr>
        <w:t xml:space="preserve">For the Year ended 30 June </w:t>
      </w:r>
      <w:r w:rsidR="00985FF4">
        <w:rPr>
          <w:b/>
        </w:rPr>
        <w:t>2015</w:t>
      </w:r>
    </w:p>
    <w:p w:rsidR="00D2400B" w:rsidRPr="00117C87" w:rsidRDefault="00D2400B" w:rsidP="00D2400B">
      <w:pPr>
        <w:widowControl w:val="0"/>
        <w:tabs>
          <w:tab w:val="left" w:pos="1176"/>
          <w:tab w:val="left" w:pos="1729"/>
        </w:tabs>
        <w:autoSpaceDE w:val="0"/>
        <w:autoSpaceDN w:val="0"/>
        <w:adjustRightInd w:val="0"/>
        <w:spacing w:before="55" w:after="0" w:line="240" w:lineRule="auto"/>
        <w:ind w:right="269"/>
        <w:rPr>
          <w:rFonts w:ascii="Times New Roman" w:hAnsi="Times New Roman"/>
        </w:rPr>
      </w:pPr>
    </w:p>
    <w:tbl>
      <w:tblPr>
        <w:tblStyle w:val="TableGrid"/>
        <w:tblW w:w="91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ash flow information from operations"/>
      </w:tblPr>
      <w:tblGrid>
        <w:gridCol w:w="6016"/>
        <w:gridCol w:w="1584"/>
        <w:gridCol w:w="1585"/>
      </w:tblGrid>
      <w:tr w:rsidR="00D2400B" w:rsidRPr="008204DE" w:rsidTr="000C0AED">
        <w:trPr>
          <w:cnfStyle w:val="100000000000" w:firstRow="1" w:lastRow="0" w:firstColumn="0" w:lastColumn="0" w:oddVBand="0" w:evenVBand="0" w:oddHBand="0" w:evenHBand="0" w:firstRowFirstColumn="0" w:firstRowLastColumn="0" w:lastRowFirstColumn="0" w:lastRowLastColumn="0"/>
          <w:tblHeader/>
          <w:jc w:val="center"/>
        </w:trPr>
        <w:tc>
          <w:tcPr>
            <w:tcW w:w="6016" w:type="dxa"/>
          </w:tcPr>
          <w:p w:rsidR="00D2400B" w:rsidRPr="001F30B3" w:rsidRDefault="00EC6D27" w:rsidP="001F30B3">
            <w:pPr>
              <w:pStyle w:val="Heading2"/>
              <w:spacing w:before="0"/>
              <w:outlineLvl w:val="1"/>
              <w:rPr>
                <w:rFonts w:ascii="Times New Roman" w:hAnsi="Times New Roman"/>
                <w:sz w:val="24"/>
                <w:szCs w:val="24"/>
              </w:rPr>
            </w:pPr>
            <w:r w:rsidRPr="001F30B3">
              <w:t xml:space="preserve">19. </w:t>
            </w:r>
            <w:r w:rsidR="00D2400B" w:rsidRPr="001F30B3">
              <w:t>Cash Flow Information from Operations</w:t>
            </w:r>
          </w:p>
        </w:tc>
        <w:tc>
          <w:tcPr>
            <w:tcW w:w="1584" w:type="dxa"/>
          </w:tcPr>
          <w:p w:rsidR="00D2400B" w:rsidRPr="008204DE" w:rsidRDefault="00985FF4" w:rsidP="000C0AED">
            <w:pPr>
              <w:jc w:val="right"/>
            </w:pPr>
            <w:r>
              <w:t>2015</w:t>
            </w:r>
            <w:r w:rsidR="00D02DD3">
              <w:br/>
              <w:t>$</w:t>
            </w:r>
          </w:p>
        </w:tc>
        <w:tc>
          <w:tcPr>
            <w:tcW w:w="1585" w:type="dxa"/>
          </w:tcPr>
          <w:p w:rsidR="00D2400B" w:rsidRPr="008204DE" w:rsidRDefault="00985FF4" w:rsidP="000C0AED">
            <w:pPr>
              <w:jc w:val="right"/>
            </w:pPr>
            <w:r>
              <w:t>2014</w:t>
            </w:r>
            <w:r w:rsidR="00D02DD3">
              <w:br/>
              <w:t>$</w:t>
            </w:r>
          </w:p>
        </w:tc>
      </w:tr>
      <w:tr w:rsidR="00FB091A" w:rsidRPr="00522D47" w:rsidTr="000C0AED">
        <w:trPr>
          <w:jc w:val="center"/>
        </w:trPr>
        <w:tc>
          <w:tcPr>
            <w:tcW w:w="6016" w:type="dxa"/>
          </w:tcPr>
          <w:p w:rsidR="00FB091A" w:rsidRPr="00522D47" w:rsidRDefault="00FB091A" w:rsidP="00D02DD3">
            <w:r w:rsidRPr="00522D47">
              <w:t>Profit (Loss) after Income Tax</w:t>
            </w:r>
          </w:p>
        </w:tc>
        <w:tc>
          <w:tcPr>
            <w:tcW w:w="1584" w:type="dxa"/>
          </w:tcPr>
          <w:p w:rsidR="00FB091A" w:rsidRPr="00522D47" w:rsidRDefault="00FB091A" w:rsidP="006D5248">
            <w:pPr>
              <w:jc w:val="right"/>
            </w:pPr>
            <w:r w:rsidRPr="00522D47">
              <w:t>(</w:t>
            </w:r>
            <w:r w:rsidR="006D5248" w:rsidRPr="00522D47">
              <w:t>1,427,703</w:t>
            </w:r>
            <w:r w:rsidRPr="00522D47">
              <w:t>)</w:t>
            </w:r>
          </w:p>
        </w:tc>
        <w:tc>
          <w:tcPr>
            <w:tcW w:w="1585" w:type="dxa"/>
          </w:tcPr>
          <w:p w:rsidR="00FB091A" w:rsidRPr="00522D47" w:rsidRDefault="00FB091A" w:rsidP="00BC7B9F">
            <w:pPr>
              <w:jc w:val="right"/>
            </w:pPr>
            <w:r w:rsidRPr="00522D47">
              <w:t>(682,688)</w:t>
            </w:r>
          </w:p>
        </w:tc>
      </w:tr>
      <w:tr w:rsidR="00FB091A" w:rsidRPr="00522D47" w:rsidTr="000C0AED">
        <w:trPr>
          <w:jc w:val="center"/>
        </w:trPr>
        <w:tc>
          <w:tcPr>
            <w:tcW w:w="6016" w:type="dxa"/>
          </w:tcPr>
          <w:p w:rsidR="00FB091A" w:rsidRPr="00522D47" w:rsidRDefault="00FB091A" w:rsidP="00D02DD3">
            <w:r w:rsidRPr="00522D47">
              <w:t>Non cash flows</w:t>
            </w:r>
          </w:p>
        </w:tc>
        <w:tc>
          <w:tcPr>
            <w:tcW w:w="1584" w:type="dxa"/>
          </w:tcPr>
          <w:p w:rsidR="00FB091A" w:rsidRPr="00522D47" w:rsidRDefault="00FB091A" w:rsidP="0078384F">
            <w:pPr>
              <w:jc w:val="right"/>
            </w:pPr>
          </w:p>
        </w:tc>
        <w:tc>
          <w:tcPr>
            <w:tcW w:w="1585" w:type="dxa"/>
          </w:tcPr>
          <w:p w:rsidR="00FB091A" w:rsidRPr="00522D47" w:rsidRDefault="00FB091A" w:rsidP="00BC7B9F">
            <w:pPr>
              <w:jc w:val="right"/>
            </w:pPr>
          </w:p>
        </w:tc>
      </w:tr>
      <w:tr w:rsidR="00FB091A" w:rsidRPr="00522D47" w:rsidTr="000C0AED">
        <w:trPr>
          <w:jc w:val="center"/>
        </w:trPr>
        <w:tc>
          <w:tcPr>
            <w:tcW w:w="6016" w:type="dxa"/>
          </w:tcPr>
          <w:p w:rsidR="00FB091A" w:rsidRPr="00522D47" w:rsidRDefault="00FB091A" w:rsidP="00D02DD3">
            <w:r w:rsidRPr="00522D47">
              <w:t>Depreciation and amortization</w:t>
            </w:r>
          </w:p>
        </w:tc>
        <w:tc>
          <w:tcPr>
            <w:tcW w:w="1584" w:type="dxa"/>
          </w:tcPr>
          <w:p w:rsidR="00FB091A" w:rsidRPr="00522D47" w:rsidRDefault="00522D47" w:rsidP="0078384F">
            <w:pPr>
              <w:jc w:val="right"/>
            </w:pPr>
            <w:r>
              <w:t>103,468</w:t>
            </w:r>
          </w:p>
        </w:tc>
        <w:tc>
          <w:tcPr>
            <w:tcW w:w="1585" w:type="dxa"/>
          </w:tcPr>
          <w:p w:rsidR="00FB091A" w:rsidRPr="00522D47" w:rsidRDefault="00FB091A" w:rsidP="00BC7B9F">
            <w:pPr>
              <w:jc w:val="right"/>
            </w:pPr>
            <w:r w:rsidRPr="00522D47">
              <w:t>123,497</w:t>
            </w:r>
          </w:p>
        </w:tc>
      </w:tr>
      <w:tr w:rsidR="00FB091A" w:rsidRPr="00522D47" w:rsidTr="000C0AED">
        <w:trPr>
          <w:jc w:val="center"/>
        </w:trPr>
        <w:tc>
          <w:tcPr>
            <w:tcW w:w="6016" w:type="dxa"/>
          </w:tcPr>
          <w:p w:rsidR="00FB091A" w:rsidRPr="00522D47" w:rsidRDefault="00FB091A" w:rsidP="00D02DD3">
            <w:r w:rsidRPr="00522D47">
              <w:t>Unrealised loss (gain) on investment</w:t>
            </w:r>
          </w:p>
        </w:tc>
        <w:tc>
          <w:tcPr>
            <w:tcW w:w="1584" w:type="dxa"/>
          </w:tcPr>
          <w:p w:rsidR="00FB091A" w:rsidRPr="00522D47" w:rsidRDefault="006F7404" w:rsidP="0078384F">
            <w:pPr>
              <w:jc w:val="right"/>
            </w:pPr>
            <w:r>
              <w:t>5</w:t>
            </w:r>
            <w:r w:rsidR="00522D47">
              <w:t>4</w:t>
            </w:r>
            <w:r>
              <w:t>5</w:t>
            </w:r>
            <w:r w:rsidR="00522D47">
              <w:t>,361</w:t>
            </w:r>
          </w:p>
        </w:tc>
        <w:tc>
          <w:tcPr>
            <w:tcW w:w="1585" w:type="dxa"/>
          </w:tcPr>
          <w:p w:rsidR="00FB091A" w:rsidRPr="00522D47" w:rsidRDefault="00FB091A" w:rsidP="00BC7B9F">
            <w:pPr>
              <w:jc w:val="right"/>
            </w:pPr>
            <w:r w:rsidRPr="00522D47">
              <w:t>400,965</w:t>
            </w:r>
          </w:p>
        </w:tc>
      </w:tr>
      <w:tr w:rsidR="00FB091A" w:rsidRPr="00522D47" w:rsidTr="000C0AED">
        <w:trPr>
          <w:jc w:val="center"/>
        </w:trPr>
        <w:tc>
          <w:tcPr>
            <w:tcW w:w="6016" w:type="dxa"/>
          </w:tcPr>
          <w:p w:rsidR="00FB091A" w:rsidRPr="00522D47" w:rsidRDefault="00FB091A" w:rsidP="00D02DD3">
            <w:r w:rsidRPr="00522D47">
              <w:t>Changes in assets and liabilities</w:t>
            </w:r>
          </w:p>
        </w:tc>
        <w:tc>
          <w:tcPr>
            <w:tcW w:w="1584" w:type="dxa"/>
          </w:tcPr>
          <w:p w:rsidR="00FB091A" w:rsidRPr="00522D47" w:rsidRDefault="00FB091A" w:rsidP="0078384F">
            <w:pPr>
              <w:jc w:val="right"/>
            </w:pPr>
          </w:p>
        </w:tc>
        <w:tc>
          <w:tcPr>
            <w:tcW w:w="1585" w:type="dxa"/>
          </w:tcPr>
          <w:p w:rsidR="00FB091A" w:rsidRPr="00522D47" w:rsidRDefault="00FB091A" w:rsidP="00BC7B9F">
            <w:pPr>
              <w:jc w:val="right"/>
            </w:pPr>
          </w:p>
        </w:tc>
      </w:tr>
      <w:tr w:rsidR="00FB091A" w:rsidRPr="00522D47" w:rsidTr="000C0AED">
        <w:trPr>
          <w:jc w:val="center"/>
        </w:trPr>
        <w:tc>
          <w:tcPr>
            <w:tcW w:w="6016" w:type="dxa"/>
          </w:tcPr>
          <w:p w:rsidR="00FB091A" w:rsidRPr="00522D47" w:rsidRDefault="00FB091A" w:rsidP="00D02DD3">
            <w:r w:rsidRPr="00522D47">
              <w:t>Decrease/ (increase) in trade and other receivables, and other assets</w:t>
            </w:r>
          </w:p>
        </w:tc>
        <w:tc>
          <w:tcPr>
            <w:tcW w:w="1584" w:type="dxa"/>
          </w:tcPr>
          <w:p w:rsidR="00FB091A" w:rsidRPr="00522D47" w:rsidRDefault="00522D47" w:rsidP="00B92029">
            <w:pPr>
              <w:jc w:val="right"/>
            </w:pPr>
            <w:r>
              <w:t>28,257</w:t>
            </w:r>
          </w:p>
        </w:tc>
        <w:tc>
          <w:tcPr>
            <w:tcW w:w="1585" w:type="dxa"/>
          </w:tcPr>
          <w:p w:rsidR="00FB091A" w:rsidRPr="00522D47" w:rsidRDefault="00FB091A" w:rsidP="00BC7B9F">
            <w:pPr>
              <w:jc w:val="right"/>
            </w:pPr>
            <w:r w:rsidRPr="00522D47">
              <w:t>(70,708)</w:t>
            </w:r>
          </w:p>
        </w:tc>
      </w:tr>
      <w:tr w:rsidR="00FB091A" w:rsidRPr="00522D47" w:rsidTr="000C0AED">
        <w:trPr>
          <w:jc w:val="center"/>
        </w:trPr>
        <w:tc>
          <w:tcPr>
            <w:tcW w:w="6016" w:type="dxa"/>
          </w:tcPr>
          <w:p w:rsidR="00FB091A" w:rsidRPr="00522D47" w:rsidRDefault="00FB091A" w:rsidP="00D02DD3">
            <w:r w:rsidRPr="00522D47">
              <w:t>(Decrease) / increase in trade and other payables</w:t>
            </w:r>
          </w:p>
        </w:tc>
        <w:tc>
          <w:tcPr>
            <w:tcW w:w="1584" w:type="dxa"/>
          </w:tcPr>
          <w:p w:rsidR="00FB091A" w:rsidRPr="00522D47" w:rsidRDefault="00522D47" w:rsidP="00B92029">
            <w:pPr>
              <w:jc w:val="right"/>
            </w:pPr>
            <w:r>
              <w:t>30,959</w:t>
            </w:r>
          </w:p>
        </w:tc>
        <w:tc>
          <w:tcPr>
            <w:tcW w:w="1585" w:type="dxa"/>
          </w:tcPr>
          <w:p w:rsidR="00FB091A" w:rsidRPr="00522D47" w:rsidRDefault="00FB091A" w:rsidP="00BC7B9F">
            <w:pPr>
              <w:jc w:val="right"/>
            </w:pPr>
            <w:r w:rsidRPr="00522D47">
              <w:t>(23,907)</w:t>
            </w:r>
          </w:p>
        </w:tc>
      </w:tr>
      <w:tr w:rsidR="00FB091A" w:rsidRPr="00522D47" w:rsidTr="000C0AED">
        <w:trPr>
          <w:jc w:val="center"/>
        </w:trPr>
        <w:tc>
          <w:tcPr>
            <w:tcW w:w="6016" w:type="dxa"/>
          </w:tcPr>
          <w:p w:rsidR="00FB091A" w:rsidRPr="00522D47" w:rsidRDefault="00FB091A" w:rsidP="00D02DD3">
            <w:r w:rsidRPr="00522D47">
              <w:t>(Decrease) / increase in provisions</w:t>
            </w:r>
          </w:p>
        </w:tc>
        <w:tc>
          <w:tcPr>
            <w:tcW w:w="1584" w:type="dxa"/>
            <w:tcBorders>
              <w:bottom w:val="single" w:sz="4" w:space="0" w:color="auto"/>
            </w:tcBorders>
          </w:tcPr>
          <w:p w:rsidR="00FB091A" w:rsidRPr="00522D47" w:rsidRDefault="00522D47" w:rsidP="0078384F">
            <w:pPr>
              <w:jc w:val="right"/>
            </w:pPr>
            <w:r>
              <w:t>21,217</w:t>
            </w:r>
          </w:p>
        </w:tc>
        <w:tc>
          <w:tcPr>
            <w:tcW w:w="1585" w:type="dxa"/>
            <w:tcBorders>
              <w:bottom w:val="single" w:sz="4" w:space="0" w:color="auto"/>
            </w:tcBorders>
          </w:tcPr>
          <w:p w:rsidR="00FB091A" w:rsidRPr="00522D47" w:rsidRDefault="00FB091A" w:rsidP="00BC7B9F">
            <w:pPr>
              <w:jc w:val="right"/>
            </w:pPr>
            <w:r w:rsidRPr="00522D47">
              <w:t>13,198</w:t>
            </w:r>
          </w:p>
        </w:tc>
      </w:tr>
      <w:tr w:rsidR="00FB091A" w:rsidRPr="008204DE" w:rsidTr="000C0AED">
        <w:trPr>
          <w:jc w:val="center"/>
        </w:trPr>
        <w:tc>
          <w:tcPr>
            <w:tcW w:w="6016" w:type="dxa"/>
          </w:tcPr>
          <w:p w:rsidR="00FB091A" w:rsidRPr="00522D47" w:rsidRDefault="00FB091A" w:rsidP="00D02DD3">
            <w:r w:rsidRPr="00522D47">
              <w:rPr>
                <w:b/>
              </w:rPr>
              <w:t>Cash flow provided by operating activities</w:t>
            </w:r>
          </w:p>
        </w:tc>
        <w:tc>
          <w:tcPr>
            <w:tcW w:w="1584" w:type="dxa"/>
            <w:tcBorders>
              <w:top w:val="single" w:sz="4" w:space="0" w:color="auto"/>
              <w:bottom w:val="double" w:sz="4" w:space="0" w:color="auto"/>
            </w:tcBorders>
          </w:tcPr>
          <w:p w:rsidR="00FB091A" w:rsidRPr="00522D47" w:rsidRDefault="00FB091A" w:rsidP="006F7404">
            <w:pPr>
              <w:jc w:val="right"/>
            </w:pPr>
            <w:r w:rsidRPr="00522D47">
              <w:t>(</w:t>
            </w:r>
            <w:r w:rsidR="006F7404">
              <w:t>698,441</w:t>
            </w:r>
            <w:r w:rsidRPr="00522D47">
              <w:t>)</w:t>
            </w:r>
          </w:p>
        </w:tc>
        <w:tc>
          <w:tcPr>
            <w:tcW w:w="1585" w:type="dxa"/>
            <w:tcBorders>
              <w:top w:val="single" w:sz="4" w:space="0" w:color="auto"/>
              <w:bottom w:val="double" w:sz="4" w:space="0" w:color="auto"/>
            </w:tcBorders>
          </w:tcPr>
          <w:p w:rsidR="00FB091A" w:rsidRPr="00522D47" w:rsidRDefault="00FB091A" w:rsidP="00BC7B9F">
            <w:pPr>
              <w:jc w:val="right"/>
            </w:pPr>
            <w:r w:rsidRPr="00522D47">
              <w:t>(239,643)</w:t>
            </w:r>
          </w:p>
        </w:tc>
      </w:tr>
    </w:tbl>
    <w:p w:rsidR="00D2400B" w:rsidRPr="00F104FF" w:rsidRDefault="00EC6D27" w:rsidP="00EC6D27">
      <w:pPr>
        <w:pStyle w:val="Heading2"/>
        <w:spacing w:before="360"/>
        <w:rPr>
          <w:rFonts w:ascii="Times New Roman" w:hAnsi="Times New Roman"/>
          <w:b w:val="0"/>
        </w:rPr>
      </w:pPr>
      <w:r>
        <w:rPr>
          <w:b w:val="0"/>
        </w:rPr>
        <w:t xml:space="preserve">20. </w:t>
      </w:r>
      <w:r w:rsidR="00D2400B" w:rsidRPr="00F104FF">
        <w:rPr>
          <w:b w:val="0"/>
        </w:rPr>
        <w:t>Economic Entity Details</w:t>
      </w:r>
    </w:p>
    <w:p w:rsidR="00D2400B" w:rsidRPr="00117C87" w:rsidRDefault="00D2400B" w:rsidP="00786E0F">
      <w:r w:rsidRPr="00117C87">
        <w:t>The registered office of Economic Entity is</w:t>
      </w:r>
    </w:p>
    <w:p w:rsidR="00D2400B" w:rsidRPr="00117C87" w:rsidRDefault="00D2400B" w:rsidP="00F104FF">
      <w:pPr>
        <w:ind w:left="1701"/>
      </w:pPr>
      <w:r w:rsidRPr="00117C87">
        <w:t>Media Access Australia</w:t>
      </w:r>
      <w:r w:rsidR="00D02DD3">
        <w:br/>
      </w:r>
      <w:r w:rsidRPr="00117C87">
        <w:t>Level 3</w:t>
      </w:r>
      <w:r w:rsidR="00D02DD3">
        <w:br/>
      </w:r>
      <w:r w:rsidRPr="00117C87">
        <w:t>616-620 Harris Street</w:t>
      </w:r>
      <w:r w:rsidR="00D02DD3">
        <w:br/>
      </w:r>
      <w:r w:rsidRPr="00117C87">
        <w:t>ULTIMO</w:t>
      </w:r>
      <w:r w:rsidR="00BE7EB4">
        <w:t xml:space="preserve"> </w:t>
      </w:r>
      <w:r w:rsidRPr="00117C87">
        <w:t>NSW</w:t>
      </w:r>
      <w:r w:rsidR="00BE7EB4">
        <w:t xml:space="preserve"> </w:t>
      </w:r>
      <w:r w:rsidRPr="00117C87">
        <w:t>2007</w:t>
      </w:r>
    </w:p>
    <w:p w:rsidR="00D2400B" w:rsidRPr="00117C87" w:rsidRDefault="00D2400B" w:rsidP="00F104FF">
      <w:pPr>
        <w:ind w:left="1701"/>
      </w:pPr>
      <w:r w:rsidRPr="00117C87">
        <w:t>The principal place of business of the Economic Entity is:</w:t>
      </w:r>
    </w:p>
    <w:p w:rsidR="00D2400B" w:rsidRDefault="00D2400B" w:rsidP="00F104FF">
      <w:pPr>
        <w:ind w:left="1701"/>
        <w:rPr>
          <w:sz w:val="24"/>
          <w:szCs w:val="24"/>
        </w:rPr>
      </w:pPr>
      <w:r w:rsidRPr="00117C87">
        <w:t>Media Access Australia</w:t>
      </w:r>
      <w:r w:rsidR="00D02DD3">
        <w:br/>
      </w:r>
      <w:r w:rsidRPr="00117C87">
        <w:t>Level 3</w:t>
      </w:r>
      <w:r w:rsidR="00D02DD3">
        <w:br/>
      </w:r>
      <w:r w:rsidRPr="00117C87">
        <w:t>616-620 Harris Street</w:t>
      </w:r>
      <w:r w:rsidR="00D02DD3">
        <w:br/>
      </w:r>
      <w:r w:rsidRPr="00117C87">
        <w:t>ULTIMO</w:t>
      </w:r>
      <w:r w:rsidR="00BE7EB4">
        <w:t xml:space="preserve"> </w:t>
      </w:r>
      <w:r w:rsidRPr="00117C87">
        <w:t>NSW</w:t>
      </w:r>
      <w:r w:rsidR="00BE7EB4">
        <w:t xml:space="preserve"> </w:t>
      </w:r>
      <w:r w:rsidRPr="00117C87">
        <w:t>2007</w:t>
      </w:r>
    </w:p>
    <w:p w:rsidR="00D2400B" w:rsidRPr="00D02DD3" w:rsidRDefault="00D2400B" w:rsidP="00291C43">
      <w:pPr>
        <w:spacing w:before="840"/>
        <w:jc w:val="center"/>
        <w:rPr>
          <w:i/>
        </w:rPr>
      </w:pPr>
      <w:r w:rsidRPr="00D02DD3">
        <w:rPr>
          <w:i/>
        </w:rPr>
        <w:t>These notes form part of the financial statements</w:t>
      </w:r>
      <w:r w:rsidRPr="00D02DD3">
        <w:rPr>
          <w:i/>
        </w:rPr>
        <w:br w:type="page"/>
      </w:r>
    </w:p>
    <w:p w:rsidR="00D2400B" w:rsidRDefault="00D2400B" w:rsidP="00786E0F">
      <w:pPr>
        <w:pStyle w:val="Heading1"/>
      </w:pPr>
      <w:bookmarkStart w:id="9" w:name="_Toc402184224"/>
      <w:r w:rsidRPr="00374873">
        <w:lastRenderedPageBreak/>
        <w:t>Directors</w:t>
      </w:r>
      <w:r w:rsidR="00082BF0">
        <w:t>’</w:t>
      </w:r>
      <w:r w:rsidRPr="003226E6">
        <w:t xml:space="preserve"> Declaration</w:t>
      </w:r>
      <w:bookmarkEnd w:id="9"/>
    </w:p>
    <w:p w:rsidR="00D02DD3" w:rsidRPr="00E171F7" w:rsidRDefault="000C0AED" w:rsidP="00786E0F">
      <w:pPr>
        <w:spacing w:after="0"/>
        <w:ind w:firstLine="11"/>
        <w:rPr>
          <w:b/>
          <w:sz w:val="24"/>
          <w:szCs w:val="24"/>
        </w:rPr>
      </w:pPr>
      <w:r>
        <w:rPr>
          <w:b/>
        </w:rPr>
        <w:t xml:space="preserve">For the Year ended 30 June </w:t>
      </w:r>
      <w:r w:rsidR="00985FF4">
        <w:rPr>
          <w:b/>
        </w:rPr>
        <w:t>2015</w:t>
      </w:r>
    </w:p>
    <w:p w:rsidR="00D2400B" w:rsidRDefault="00D2400B" w:rsidP="00786E0F">
      <w:pPr>
        <w:spacing w:before="240"/>
      </w:pPr>
      <w:r>
        <w:t>The directors have determined that the company is a reporting entity and that this General purpose financial report should be prepared in accordance with the accounting policies outlined in Note 1 to the financial statements.</w:t>
      </w:r>
    </w:p>
    <w:p w:rsidR="00D2400B" w:rsidRDefault="00D2400B" w:rsidP="00786E0F">
      <w:pPr>
        <w:rPr>
          <w:sz w:val="24"/>
          <w:szCs w:val="24"/>
        </w:rPr>
      </w:pPr>
      <w:r>
        <w:t>The directors of the company declare that:</w:t>
      </w:r>
    </w:p>
    <w:p w:rsidR="00D2400B" w:rsidRDefault="00D2400B" w:rsidP="00786E0F">
      <w:pPr>
        <w:pStyle w:val="ListParagraph"/>
        <w:numPr>
          <w:ilvl w:val="6"/>
          <w:numId w:val="35"/>
        </w:numPr>
        <w:ind w:left="709"/>
      </w:pPr>
      <w:r>
        <w:t xml:space="preserve">the financial statements and notes, as set out in the financial report present fairly the company’s financial position as at 30 June </w:t>
      </w:r>
      <w:r w:rsidR="00985FF4">
        <w:t>2015</w:t>
      </w:r>
      <w:r>
        <w:t xml:space="preserve"> and its performance for the year ended on that date in accordance with the accounting policies described in Note 1 to the financial statements; and</w:t>
      </w:r>
    </w:p>
    <w:p w:rsidR="00D2400B" w:rsidRPr="00910318" w:rsidRDefault="00D2400B" w:rsidP="00786E0F">
      <w:pPr>
        <w:pStyle w:val="ListParagraph"/>
        <w:numPr>
          <w:ilvl w:val="6"/>
          <w:numId w:val="35"/>
        </w:numPr>
        <w:ind w:left="709"/>
        <w:rPr>
          <w:sz w:val="24"/>
          <w:szCs w:val="24"/>
        </w:rPr>
      </w:pPr>
      <w:proofErr w:type="gramStart"/>
      <w:r>
        <w:t>in</w:t>
      </w:r>
      <w:proofErr w:type="gramEnd"/>
      <w:r>
        <w:t xml:space="preserve"> the directors’ opinion there are reasonable grounds to believe that the company will be able to pay its debts as and when they become due and payable.</w:t>
      </w:r>
    </w:p>
    <w:p w:rsidR="00D2400B" w:rsidRDefault="00D2400B" w:rsidP="00207A92">
      <w:pPr>
        <w:spacing w:after="100" w:afterAutospacing="1"/>
      </w:pPr>
      <w:r>
        <w:t>This declaration is made in accordance with a resolution of the Board of Directors.</w:t>
      </w:r>
    </w:p>
    <w:p w:rsidR="00AF5817" w:rsidRDefault="00291C43" w:rsidP="00786E0F">
      <w:r>
        <w:rPr>
          <w:noProof/>
          <w:lang w:eastAsia="en-AU"/>
        </w:rPr>
        <w:drawing>
          <wp:inline distT="0" distB="0" distL="0" distR="0">
            <wp:extent cx="1102700" cy="671209"/>
            <wp:effectExtent l="0" t="0" r="2540" b="0"/>
            <wp:docPr id="6" name="Picture 6" descr="Signature of Stephen H.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s digital signatu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03216" cy="671523"/>
                    </a:xfrm>
                    <a:prstGeom prst="rect">
                      <a:avLst/>
                    </a:prstGeom>
                  </pic:spPr>
                </pic:pic>
              </a:graphicData>
            </a:graphic>
          </wp:inline>
        </w:drawing>
      </w:r>
    </w:p>
    <w:p w:rsidR="009868C6" w:rsidRDefault="009868C6" w:rsidP="00786E0F">
      <w:r>
        <w:t>Stephen H Wall</w:t>
      </w:r>
    </w:p>
    <w:p w:rsidR="00D2400B" w:rsidRDefault="00D2400B" w:rsidP="00786E0F">
      <w:pPr>
        <w:rPr>
          <w:sz w:val="24"/>
          <w:szCs w:val="24"/>
        </w:rPr>
      </w:pPr>
      <w:r w:rsidRPr="00F72DB5">
        <w:t>Director</w:t>
      </w:r>
    </w:p>
    <w:p w:rsidR="00D2400B" w:rsidRDefault="00D2400B" w:rsidP="00786E0F">
      <w:pPr>
        <w:tabs>
          <w:tab w:val="left" w:pos="2835"/>
          <w:tab w:val="left" w:pos="5103"/>
        </w:tabs>
      </w:pPr>
      <w:r>
        <w:t>Dated this</w:t>
      </w:r>
      <w:r w:rsidR="009868C6">
        <w:t xml:space="preserve"> </w:t>
      </w:r>
      <w:r w:rsidR="00291C43">
        <w:t>10</w:t>
      </w:r>
      <w:r w:rsidR="00291C43" w:rsidRPr="00291C43">
        <w:rPr>
          <w:vertAlign w:val="superscript"/>
        </w:rPr>
        <w:t>th</w:t>
      </w:r>
      <w:r w:rsidR="00291C43">
        <w:t xml:space="preserve"> day of November 2015</w:t>
      </w:r>
      <w:r>
        <w:br w:type="page"/>
      </w:r>
    </w:p>
    <w:p w:rsidR="00D2400B" w:rsidRPr="003226E6" w:rsidRDefault="00D2400B" w:rsidP="00786E0F">
      <w:pPr>
        <w:pStyle w:val="Heading1"/>
      </w:pPr>
      <w:bookmarkStart w:id="10" w:name="_Toc402184225"/>
      <w:r w:rsidRPr="003226E6">
        <w:lastRenderedPageBreak/>
        <w:t>Auditor’s Independence Declaration</w:t>
      </w:r>
      <w:bookmarkEnd w:id="10"/>
    </w:p>
    <w:p w:rsidR="00910318" w:rsidRPr="00E171F7" w:rsidRDefault="000C0AED" w:rsidP="00786E0F">
      <w:pPr>
        <w:spacing w:after="0"/>
        <w:rPr>
          <w:b/>
          <w:sz w:val="24"/>
          <w:szCs w:val="24"/>
        </w:rPr>
      </w:pPr>
      <w:r>
        <w:rPr>
          <w:b/>
        </w:rPr>
        <w:t xml:space="preserve">For the Year ended 30 June </w:t>
      </w:r>
      <w:r w:rsidR="00985FF4">
        <w:rPr>
          <w:b/>
        </w:rPr>
        <w:t>2015</w:t>
      </w:r>
    </w:p>
    <w:p w:rsidR="00D2400B" w:rsidRPr="003226E6" w:rsidRDefault="00D2400B" w:rsidP="00786E0F">
      <w:pPr>
        <w:spacing w:before="480"/>
      </w:pPr>
      <w:r w:rsidRPr="003226E6">
        <w:t>The Board of Directors</w:t>
      </w:r>
      <w:r w:rsidR="00910318">
        <w:br/>
      </w:r>
      <w:r w:rsidRPr="003226E6">
        <w:t>Media Access Australia</w:t>
      </w:r>
      <w:r w:rsidR="00910318">
        <w:br/>
      </w:r>
      <w:r w:rsidRPr="003226E6">
        <w:t>Level 3</w:t>
      </w:r>
      <w:r w:rsidR="00910318">
        <w:br/>
      </w:r>
      <w:r w:rsidRPr="003226E6">
        <w:t>616-620 Harris Street</w:t>
      </w:r>
      <w:r w:rsidR="00910318">
        <w:br/>
      </w:r>
      <w:r w:rsidRPr="003226E6">
        <w:t>ULTIMO NSW 2007</w:t>
      </w:r>
    </w:p>
    <w:p w:rsidR="00D2400B" w:rsidRPr="003226E6" w:rsidRDefault="009B194A" w:rsidP="00786E0F">
      <w:pPr>
        <w:spacing w:before="480" w:after="840"/>
      </w:pPr>
      <w:r>
        <w:t>10</w:t>
      </w:r>
      <w:r w:rsidR="00207A92">
        <w:t xml:space="preserve"> November </w:t>
      </w:r>
      <w:r w:rsidR="00985FF4">
        <w:t>2015</w:t>
      </w:r>
    </w:p>
    <w:p w:rsidR="00D2400B" w:rsidRPr="003226E6" w:rsidRDefault="00D2400B" w:rsidP="00786E0F">
      <w:r w:rsidRPr="003226E6">
        <w:t>Dear Board Members,</w:t>
      </w:r>
    </w:p>
    <w:p w:rsidR="00D2400B" w:rsidRPr="003226E6" w:rsidRDefault="00D2400B" w:rsidP="00786E0F">
      <w:pPr>
        <w:jc w:val="center"/>
        <w:rPr>
          <w:b/>
        </w:rPr>
      </w:pPr>
      <w:r w:rsidRPr="003226E6">
        <w:rPr>
          <w:b/>
        </w:rPr>
        <w:t>Media Access Australia</w:t>
      </w:r>
    </w:p>
    <w:p w:rsidR="00D2400B" w:rsidRPr="003226E6" w:rsidRDefault="00D2400B" w:rsidP="00786E0F">
      <w:r w:rsidRPr="003226E6">
        <w:t>In accordance with section 307C of the Corporations Act 2001, I am pleased to provide the following declaration of independence to the directors of Media Access Australia.</w:t>
      </w:r>
    </w:p>
    <w:p w:rsidR="00D2400B" w:rsidRPr="003226E6" w:rsidRDefault="00D2400B" w:rsidP="00786E0F">
      <w:r w:rsidRPr="003226E6">
        <w:t>As the auditor of the financial statements of Media Access Australia for the f</w:t>
      </w:r>
      <w:r w:rsidR="00C336BD">
        <w:t xml:space="preserve">inancial year ended 30 June </w:t>
      </w:r>
      <w:r w:rsidR="00985FF4">
        <w:t>2015</w:t>
      </w:r>
      <w:r w:rsidRPr="003226E6">
        <w:t xml:space="preserve">, I declare to the best of my knowledge and belief, there have been: </w:t>
      </w:r>
    </w:p>
    <w:p w:rsidR="00D2400B" w:rsidRPr="003226E6" w:rsidRDefault="00D2400B" w:rsidP="00786E0F">
      <w:pPr>
        <w:pStyle w:val="ListParagraph"/>
        <w:numPr>
          <w:ilvl w:val="0"/>
          <w:numId w:val="31"/>
        </w:numPr>
        <w:ind w:left="946" w:hanging="357"/>
        <w:contextualSpacing w:val="0"/>
      </w:pPr>
      <w:r w:rsidRPr="003226E6">
        <w:t>no contraventions the auditor independence requirements of the Corporations Act 2001 in relation to the audit; and</w:t>
      </w:r>
    </w:p>
    <w:p w:rsidR="00D2400B" w:rsidRPr="003226E6" w:rsidRDefault="00D2400B" w:rsidP="00786E0F">
      <w:pPr>
        <w:pStyle w:val="ListParagraph"/>
        <w:numPr>
          <w:ilvl w:val="0"/>
          <w:numId w:val="31"/>
        </w:numPr>
        <w:ind w:left="946" w:hanging="357"/>
        <w:contextualSpacing w:val="0"/>
      </w:pPr>
      <w:proofErr w:type="gramStart"/>
      <w:r w:rsidRPr="003226E6">
        <w:t>assessing</w:t>
      </w:r>
      <w:proofErr w:type="gramEnd"/>
      <w:r w:rsidRPr="003226E6">
        <w:t xml:space="preserve"> the appropriateness of the accounting policies and disclosures used and the reasonableness of significant accounting estimates made by the directors. </w:t>
      </w:r>
    </w:p>
    <w:p w:rsidR="00D2400B" w:rsidRPr="003226E6" w:rsidRDefault="00D2400B" w:rsidP="004C0A79">
      <w:pPr>
        <w:spacing w:after="0"/>
      </w:pPr>
      <w:r w:rsidRPr="003226E6">
        <w:t>Yours sincerely</w:t>
      </w:r>
    </w:p>
    <w:p w:rsidR="00AF5817" w:rsidRDefault="00A21E51" w:rsidP="00A21E51">
      <w:pPr>
        <w:spacing w:before="240"/>
        <w:rPr>
          <w:noProof/>
          <w:lang w:eastAsia="en-AU"/>
        </w:rPr>
      </w:pPr>
      <w:r>
        <w:rPr>
          <w:noProof/>
          <w:lang w:eastAsia="en-AU"/>
        </w:rPr>
        <w:drawing>
          <wp:inline distT="0" distB="0" distL="0" distR="0">
            <wp:extent cx="924299" cy="647962"/>
            <wp:effectExtent l="0" t="0" r="9525" b="0"/>
            <wp:docPr id="8" name="Picture 8" descr="Signature of HW Trig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Triglone signature.png"/>
                    <pic:cNvPicPr/>
                  </pic:nvPicPr>
                  <pic:blipFill>
                    <a:blip r:embed="rId23">
                      <a:extLst>
                        <a:ext uri="{28A0092B-C50C-407E-A947-70E740481C1C}">
                          <a14:useLocalDpi xmlns:a14="http://schemas.microsoft.com/office/drawing/2010/main" val="0"/>
                        </a:ext>
                      </a:extLst>
                    </a:blip>
                    <a:stretch>
                      <a:fillRect/>
                    </a:stretch>
                  </pic:blipFill>
                  <pic:spPr>
                    <a:xfrm>
                      <a:off x="0" y="0"/>
                      <a:ext cx="924299" cy="647962"/>
                    </a:xfrm>
                    <a:prstGeom prst="rect">
                      <a:avLst/>
                    </a:prstGeom>
                  </pic:spPr>
                </pic:pic>
              </a:graphicData>
            </a:graphic>
          </wp:inline>
        </w:drawing>
      </w:r>
    </w:p>
    <w:p w:rsidR="00D2400B" w:rsidRDefault="00D2400B" w:rsidP="00043EC1">
      <w:pPr>
        <w:sectPr w:rsidR="00D2400B" w:rsidSect="000C5471">
          <w:pgSz w:w="11904" w:h="16836"/>
          <w:pgMar w:top="1440" w:right="1440" w:bottom="1440" w:left="1440" w:header="720" w:footer="152" w:gutter="0"/>
          <w:cols w:space="720"/>
          <w:noEndnote/>
          <w:docGrid w:linePitch="299"/>
        </w:sectPr>
      </w:pPr>
      <w:r w:rsidRPr="00910318">
        <w:t xml:space="preserve">H W </w:t>
      </w:r>
      <w:proofErr w:type="spellStart"/>
      <w:r w:rsidRPr="00910318">
        <w:t>Triglone</w:t>
      </w:r>
      <w:proofErr w:type="spellEnd"/>
      <w:r w:rsidR="00910318">
        <w:br/>
      </w:r>
      <w:r w:rsidRPr="00910318">
        <w:t>Chartered Accountant</w:t>
      </w:r>
    </w:p>
    <w:p w:rsidR="00D2400B" w:rsidRPr="003226E6" w:rsidRDefault="00D2400B" w:rsidP="00E408A8">
      <w:pPr>
        <w:pStyle w:val="Heading1"/>
        <w:spacing w:after="480"/>
        <w:rPr>
          <w:rFonts w:eastAsia="Times New Roman"/>
        </w:rPr>
      </w:pPr>
      <w:bookmarkStart w:id="11" w:name="_Toc402184226"/>
      <w:r w:rsidRPr="003226E6">
        <w:rPr>
          <w:rFonts w:eastAsia="Times New Roman"/>
        </w:rPr>
        <w:lastRenderedPageBreak/>
        <w:t>Independent Auditor’s Report</w:t>
      </w:r>
      <w:r w:rsidRPr="003226E6">
        <w:rPr>
          <w:rFonts w:eastAsia="Times New Roman"/>
        </w:rPr>
        <w:br/>
        <w:t>to the members of</w:t>
      </w:r>
      <w:r w:rsidRPr="003226E6">
        <w:rPr>
          <w:rFonts w:eastAsia="Times New Roman"/>
        </w:rPr>
        <w:br/>
        <w:t>Media Access Australia</w:t>
      </w:r>
      <w:bookmarkEnd w:id="11"/>
    </w:p>
    <w:p w:rsidR="00D2400B" w:rsidRPr="00374873" w:rsidRDefault="00D2400B" w:rsidP="008D5EA4">
      <w:pPr>
        <w:pStyle w:val="Heading2"/>
        <w:rPr>
          <w:rStyle w:val="Strong"/>
          <w:rFonts w:ascii="Arial" w:hAnsi="Arial" w:cs="Arial"/>
        </w:rPr>
      </w:pPr>
      <w:r w:rsidRPr="00374873">
        <w:rPr>
          <w:rStyle w:val="Strong"/>
          <w:rFonts w:ascii="Arial" w:hAnsi="Arial" w:cs="Arial"/>
        </w:rPr>
        <w:t>Report on the Financial Report</w:t>
      </w:r>
    </w:p>
    <w:p w:rsidR="00D2400B" w:rsidRPr="00374873" w:rsidRDefault="00D2400B" w:rsidP="009B194A">
      <w:pPr>
        <w:keepLines/>
        <w:tabs>
          <w:tab w:val="left" w:pos="0"/>
        </w:tabs>
        <w:autoSpaceDE w:val="0"/>
        <w:autoSpaceDN w:val="0"/>
        <w:spacing w:after="240" w:line="240" w:lineRule="auto"/>
        <w:ind w:firstLine="11"/>
        <w:jc w:val="both"/>
        <w:rPr>
          <w:rFonts w:ascii="Arial" w:eastAsia="Times New Roman" w:hAnsi="Arial" w:cs="Arial"/>
        </w:rPr>
      </w:pPr>
      <w:r w:rsidRPr="00374873">
        <w:rPr>
          <w:rFonts w:ascii="Arial" w:eastAsia="Times New Roman" w:hAnsi="Arial" w:cs="Arial"/>
        </w:rPr>
        <w:t xml:space="preserve">We have audited the accompanying financial report of </w:t>
      </w:r>
      <w:r w:rsidRPr="00374873">
        <w:rPr>
          <w:rFonts w:ascii="Arial" w:eastAsia="Times New Roman" w:hAnsi="Arial"/>
        </w:rPr>
        <w:t>Media Access Australia</w:t>
      </w:r>
      <w:r w:rsidRPr="00374873">
        <w:rPr>
          <w:rFonts w:ascii="Arial" w:eastAsia="Times New Roman" w:hAnsi="Arial" w:cs="Arial"/>
        </w:rPr>
        <w:t xml:space="preserve">, which comprises the </w:t>
      </w:r>
      <w:r w:rsidR="00C336BD">
        <w:rPr>
          <w:rFonts w:ascii="Arial" w:eastAsia="Times New Roman" w:hAnsi="Arial" w:cs="Arial"/>
        </w:rPr>
        <w:t xml:space="preserve">balance sheet as at 30 June </w:t>
      </w:r>
      <w:r w:rsidR="00985FF4">
        <w:rPr>
          <w:rFonts w:ascii="Arial" w:eastAsia="Times New Roman" w:hAnsi="Arial" w:cs="Arial"/>
        </w:rPr>
        <w:t>2015</w:t>
      </w:r>
      <w:r w:rsidRPr="00374873">
        <w:rPr>
          <w:rFonts w:ascii="Arial" w:eastAsia="Times New Roman" w:hAnsi="Arial" w:cs="Arial"/>
        </w:rPr>
        <w:t>, and statement of comprehensive income and statement of change in equity for the year ended on that date, a summary of significant accounting policies, other explanatory notes and the directors’ declaration.</w:t>
      </w:r>
    </w:p>
    <w:p w:rsidR="00D2400B" w:rsidRPr="00374873" w:rsidRDefault="00D2400B" w:rsidP="008D5EA4">
      <w:pPr>
        <w:pStyle w:val="Heading2"/>
        <w:rPr>
          <w:rStyle w:val="Strong"/>
          <w:rFonts w:ascii="Arial" w:hAnsi="Arial" w:cs="Arial"/>
        </w:rPr>
      </w:pPr>
      <w:r w:rsidRPr="00374873">
        <w:rPr>
          <w:rStyle w:val="Strong"/>
          <w:rFonts w:ascii="Arial" w:hAnsi="Arial" w:cs="Arial"/>
        </w:rPr>
        <w:t>Directors' Responsibility for the Financial Report</w:t>
      </w:r>
    </w:p>
    <w:p w:rsidR="00D2400B" w:rsidRPr="00374873" w:rsidRDefault="00D2400B" w:rsidP="009B194A">
      <w:pPr>
        <w:keepLines/>
        <w:tabs>
          <w:tab w:val="left" w:pos="0"/>
        </w:tabs>
        <w:autoSpaceDE w:val="0"/>
        <w:autoSpaceDN w:val="0"/>
        <w:spacing w:after="240" w:line="240" w:lineRule="auto"/>
        <w:jc w:val="both"/>
        <w:rPr>
          <w:rFonts w:ascii="Arial" w:eastAsia="Times New Roman" w:hAnsi="Arial" w:cs="Arial"/>
        </w:rPr>
      </w:pPr>
      <w:r w:rsidRPr="00374873">
        <w:rPr>
          <w:rFonts w:ascii="Arial" w:eastAsia="Times New Roman" w:hAnsi="Arial" w:cs="Arial"/>
        </w:rPr>
        <w:t xml:space="preserve">The directors of the company are responsible for the preparation and fair presentation of the financial report in accordance with Australian Accounting Standards (including the Australian Accounting Interpretations) and the </w:t>
      </w:r>
      <w:r w:rsidRPr="00374873">
        <w:rPr>
          <w:rFonts w:ascii="Arial" w:eastAsia="Times New Roman" w:hAnsi="Arial" w:cs="Arial"/>
          <w:i/>
          <w:iCs/>
        </w:rPr>
        <w:t>Corporations Act 2001</w:t>
      </w:r>
      <w:r w:rsidRPr="00374873">
        <w:rPr>
          <w:rFonts w:ascii="Arial" w:eastAsia="Times New Roman" w:hAnsi="Arial" w:cs="Arial"/>
        </w:rPr>
        <w:t>. This responsibility includes establishing and maintaining internal control relevant to the preparation and fair presentation of the financial report that is free from material misstatement, whether due to fraud or error; selecting and applying appropriate accounting policies; and making accounting estimates that are reasonable in the circumstances.</w:t>
      </w:r>
    </w:p>
    <w:p w:rsidR="00D2400B" w:rsidRPr="00374873" w:rsidRDefault="00D2400B" w:rsidP="008D5EA4">
      <w:pPr>
        <w:pStyle w:val="Heading2"/>
        <w:rPr>
          <w:rFonts w:eastAsia="Times New Roman"/>
        </w:rPr>
      </w:pPr>
      <w:r w:rsidRPr="00374873">
        <w:rPr>
          <w:rStyle w:val="Strong"/>
          <w:rFonts w:ascii="Arial" w:hAnsi="Arial" w:cs="Arial"/>
        </w:rPr>
        <w:t>Auditor's Responsibility</w:t>
      </w:r>
    </w:p>
    <w:p w:rsidR="00D2400B" w:rsidRPr="00374873" w:rsidRDefault="00D2400B" w:rsidP="009B194A">
      <w:pPr>
        <w:keepLines/>
        <w:tabs>
          <w:tab w:val="left" w:pos="0"/>
        </w:tabs>
        <w:autoSpaceDE w:val="0"/>
        <w:autoSpaceDN w:val="0"/>
        <w:spacing w:after="0" w:line="240" w:lineRule="auto"/>
        <w:jc w:val="both"/>
        <w:rPr>
          <w:rFonts w:ascii="Arial" w:eastAsia="Times New Roman" w:hAnsi="Arial" w:cs="Arial"/>
        </w:rPr>
      </w:pPr>
      <w:r w:rsidRPr="00374873">
        <w:rPr>
          <w:rFonts w:ascii="Arial" w:eastAsia="Times New Roman" w:hAnsi="Arial" w:cs="Arial"/>
        </w:rPr>
        <w:t>Our responsibility is to express an opinion on the financial report based on our audit. We conducted our audit in accordance with Australian Auditing Standards. These Auditing Standards require that we comply with relevant ethical requirements relating to audit engagements and plan and perform the audit to obtain reasonable assurance whether the financial report is free from material misstatement.</w:t>
      </w:r>
    </w:p>
    <w:p w:rsidR="00D2400B" w:rsidRPr="00374873" w:rsidRDefault="00D2400B" w:rsidP="009B194A">
      <w:pPr>
        <w:keepLines/>
        <w:tabs>
          <w:tab w:val="left" w:pos="0"/>
        </w:tabs>
        <w:autoSpaceDE w:val="0"/>
        <w:autoSpaceDN w:val="0"/>
        <w:spacing w:after="0" w:line="240" w:lineRule="auto"/>
        <w:jc w:val="both"/>
        <w:rPr>
          <w:rFonts w:ascii="Arial" w:eastAsia="Times New Roman" w:hAnsi="Arial" w:cs="Arial"/>
        </w:rPr>
      </w:pPr>
    </w:p>
    <w:p w:rsidR="00D2400B" w:rsidRPr="00374873" w:rsidRDefault="00D2400B" w:rsidP="009B194A">
      <w:pPr>
        <w:keepLines/>
        <w:tabs>
          <w:tab w:val="left" w:pos="0"/>
        </w:tabs>
        <w:autoSpaceDE w:val="0"/>
        <w:autoSpaceDN w:val="0"/>
        <w:spacing w:after="240" w:line="240" w:lineRule="auto"/>
        <w:jc w:val="both"/>
        <w:rPr>
          <w:rFonts w:ascii="Arial" w:eastAsia="Times New Roman" w:hAnsi="Arial" w:cs="Arial"/>
        </w:rPr>
      </w:pPr>
      <w:r w:rsidRPr="00374873">
        <w:rPr>
          <w:rFonts w:ascii="Arial" w:eastAsia="Times New Roman" w:hAnsi="Arial" w:cs="Arial"/>
        </w:rPr>
        <w:t>An audit involves performing procedures to obtain audit evidence about the amounts and disclosures in the financial report. The procedures selected depend on the auditor's judgment, including the assessment of the risks of material misstatement of the financial report, whether due to fraud or error. In making those risk assessments, the auditor considers internal control relevant to the entity's preparation and fair presentation of the financial report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the directors, as well as evaluating the overall presentation of the financial report.</w:t>
      </w:r>
    </w:p>
    <w:p w:rsidR="00D2400B" w:rsidRPr="00374873" w:rsidRDefault="00D2400B" w:rsidP="009B194A">
      <w:pPr>
        <w:keepLines/>
        <w:tabs>
          <w:tab w:val="left" w:pos="0"/>
        </w:tabs>
        <w:autoSpaceDE w:val="0"/>
        <w:autoSpaceDN w:val="0"/>
        <w:spacing w:after="0" w:line="240" w:lineRule="auto"/>
        <w:jc w:val="both"/>
        <w:rPr>
          <w:rFonts w:ascii="Arial" w:eastAsia="Times New Roman" w:hAnsi="Arial" w:cs="Arial"/>
        </w:rPr>
      </w:pPr>
      <w:r w:rsidRPr="00374873">
        <w:rPr>
          <w:rFonts w:ascii="Arial" w:eastAsia="Times New Roman" w:hAnsi="Arial" w:cs="Arial"/>
        </w:rPr>
        <w:t>We believe that the audit evidence we have obtained is sufficient and appropriate to provide a basis for our audit opinion.</w:t>
      </w:r>
    </w:p>
    <w:p w:rsidR="00D2400B" w:rsidRPr="00374873" w:rsidRDefault="00D2400B" w:rsidP="009B194A">
      <w:pPr>
        <w:pStyle w:val="Heading2"/>
        <w:jc w:val="both"/>
      </w:pPr>
      <w:r w:rsidRPr="000A2BB8">
        <w:rPr>
          <w:highlight w:val="yellow"/>
        </w:rPr>
        <w:br w:type="page"/>
      </w:r>
      <w:r w:rsidRPr="00374873">
        <w:lastRenderedPageBreak/>
        <w:t>Independence</w:t>
      </w:r>
    </w:p>
    <w:p w:rsidR="00D2400B" w:rsidRPr="00374873" w:rsidRDefault="00D2400B" w:rsidP="009B194A">
      <w:pPr>
        <w:keepLines/>
        <w:tabs>
          <w:tab w:val="left" w:pos="0"/>
        </w:tabs>
        <w:autoSpaceDE w:val="0"/>
        <w:autoSpaceDN w:val="0"/>
        <w:spacing w:after="0" w:line="240" w:lineRule="auto"/>
        <w:jc w:val="both"/>
        <w:rPr>
          <w:rFonts w:ascii="Arial" w:eastAsia="Times New Roman" w:hAnsi="Arial" w:cs="Arial"/>
          <w:color w:val="000000" w:themeColor="text1"/>
        </w:rPr>
      </w:pPr>
      <w:r w:rsidRPr="00374873">
        <w:rPr>
          <w:rFonts w:ascii="Arial" w:eastAsia="Times New Roman" w:hAnsi="Arial" w:cs="Arial"/>
          <w:color w:val="000000" w:themeColor="text1"/>
        </w:rPr>
        <w:t xml:space="preserve">In conducting our audit, we have complied with the independence requirements of the </w:t>
      </w:r>
      <w:r w:rsidRPr="00374873">
        <w:rPr>
          <w:rFonts w:ascii="Arial" w:eastAsia="Times New Roman" w:hAnsi="Arial" w:cs="Arial"/>
          <w:i/>
          <w:iCs/>
          <w:color w:val="000000" w:themeColor="text1"/>
        </w:rPr>
        <w:t>Corporations Act 2001</w:t>
      </w:r>
      <w:r w:rsidRPr="00374873">
        <w:rPr>
          <w:rFonts w:ascii="Arial" w:eastAsia="Times New Roman" w:hAnsi="Arial" w:cs="Arial"/>
          <w:color w:val="000000" w:themeColor="text1"/>
        </w:rPr>
        <w:t xml:space="preserve">. We confirm that the independence declaration required by the </w:t>
      </w:r>
      <w:r w:rsidRPr="00374873">
        <w:rPr>
          <w:rFonts w:ascii="Arial" w:eastAsia="Times New Roman" w:hAnsi="Arial" w:cs="Arial"/>
          <w:i/>
          <w:iCs/>
          <w:color w:val="000000" w:themeColor="text1"/>
        </w:rPr>
        <w:t>Corporations Act 2001</w:t>
      </w:r>
      <w:r w:rsidRPr="00374873">
        <w:rPr>
          <w:rFonts w:ascii="Arial" w:eastAsia="Times New Roman" w:hAnsi="Arial" w:cs="Arial"/>
          <w:color w:val="000000" w:themeColor="text1"/>
        </w:rPr>
        <w:t xml:space="preserve">, provided to the directors of </w:t>
      </w:r>
      <w:r w:rsidRPr="00374873">
        <w:rPr>
          <w:rFonts w:ascii="Arial" w:eastAsia="Times New Roman" w:hAnsi="Arial"/>
          <w:color w:val="000000" w:themeColor="text1"/>
        </w:rPr>
        <w:t>Media Access Australia</w:t>
      </w:r>
      <w:r w:rsidR="00C336BD">
        <w:rPr>
          <w:rFonts w:ascii="Arial" w:eastAsia="Times New Roman" w:hAnsi="Arial" w:cs="Arial"/>
          <w:color w:val="000000" w:themeColor="text1"/>
        </w:rPr>
        <w:t xml:space="preserve"> on </w:t>
      </w:r>
      <w:r w:rsidR="009B194A">
        <w:rPr>
          <w:rFonts w:ascii="Arial" w:eastAsia="Times New Roman" w:hAnsi="Arial" w:cs="Arial"/>
          <w:color w:val="000000" w:themeColor="text1"/>
        </w:rPr>
        <w:t>10 November</w:t>
      </w:r>
      <w:r w:rsidR="00C336BD">
        <w:rPr>
          <w:rFonts w:ascii="Arial" w:eastAsia="Times New Roman" w:hAnsi="Arial" w:cs="Arial"/>
          <w:color w:val="000000" w:themeColor="text1"/>
        </w:rPr>
        <w:t xml:space="preserve"> </w:t>
      </w:r>
      <w:r w:rsidR="00985FF4">
        <w:rPr>
          <w:rFonts w:ascii="Arial" w:eastAsia="Times New Roman" w:hAnsi="Arial" w:cs="Arial"/>
          <w:color w:val="000000" w:themeColor="text1"/>
        </w:rPr>
        <w:t>2015</w:t>
      </w:r>
      <w:r w:rsidRPr="00374873">
        <w:rPr>
          <w:rFonts w:ascii="Arial" w:eastAsia="Times New Roman" w:hAnsi="Arial" w:cs="Arial"/>
          <w:color w:val="000000" w:themeColor="text1"/>
        </w:rPr>
        <w:t xml:space="preserve"> would be in the same terms if provided to the directors as at the date of this auditor's report.</w:t>
      </w:r>
    </w:p>
    <w:p w:rsidR="00D2400B" w:rsidRPr="00374873" w:rsidRDefault="00D2400B" w:rsidP="009B194A">
      <w:pPr>
        <w:pStyle w:val="Heading2"/>
        <w:jc w:val="both"/>
      </w:pPr>
      <w:r w:rsidRPr="00374873">
        <w:t>Auditor's Opinion</w:t>
      </w:r>
    </w:p>
    <w:p w:rsidR="00D2400B" w:rsidRPr="00374873" w:rsidRDefault="00D2400B" w:rsidP="009B194A">
      <w:pPr>
        <w:keepLines/>
        <w:tabs>
          <w:tab w:val="left" w:pos="0"/>
        </w:tabs>
        <w:autoSpaceDE w:val="0"/>
        <w:autoSpaceDN w:val="0"/>
        <w:spacing w:after="0" w:line="240" w:lineRule="auto"/>
        <w:jc w:val="both"/>
        <w:rPr>
          <w:rFonts w:ascii="Arial" w:eastAsia="Times New Roman" w:hAnsi="Arial" w:cs="Arial"/>
          <w:color w:val="000000" w:themeColor="text1"/>
        </w:rPr>
      </w:pPr>
      <w:r w:rsidRPr="00374873">
        <w:rPr>
          <w:rFonts w:ascii="Arial" w:eastAsia="Times New Roman" w:hAnsi="Arial" w:cs="Arial"/>
          <w:color w:val="000000" w:themeColor="text1"/>
        </w:rPr>
        <w:t xml:space="preserve">In our opinion the financial report of </w:t>
      </w:r>
      <w:r w:rsidRPr="00374873">
        <w:rPr>
          <w:rFonts w:ascii="Arial" w:eastAsia="Times New Roman" w:hAnsi="Arial"/>
          <w:color w:val="000000" w:themeColor="text1"/>
        </w:rPr>
        <w:t>Media Access Australia</w:t>
      </w:r>
      <w:r w:rsidRPr="00374873">
        <w:rPr>
          <w:rFonts w:ascii="Arial" w:eastAsia="Times New Roman" w:hAnsi="Arial" w:cs="Arial"/>
          <w:color w:val="000000" w:themeColor="text1"/>
        </w:rPr>
        <w:t xml:space="preserve"> is in accordance with the </w:t>
      </w:r>
      <w:r w:rsidRPr="00374873">
        <w:rPr>
          <w:rFonts w:ascii="Arial" w:eastAsia="Times New Roman" w:hAnsi="Arial" w:cs="Arial"/>
          <w:i/>
          <w:iCs/>
          <w:color w:val="000000" w:themeColor="text1"/>
        </w:rPr>
        <w:t>Corporations Act 2001</w:t>
      </w:r>
      <w:r w:rsidRPr="00374873">
        <w:rPr>
          <w:rFonts w:ascii="Arial" w:eastAsia="Times New Roman" w:hAnsi="Arial" w:cs="Arial"/>
          <w:color w:val="000000" w:themeColor="text1"/>
        </w:rPr>
        <w:t>, including:</w:t>
      </w:r>
    </w:p>
    <w:p w:rsidR="00D2400B" w:rsidRPr="00374873" w:rsidRDefault="00D2400B" w:rsidP="009B194A">
      <w:pPr>
        <w:keepLines/>
        <w:tabs>
          <w:tab w:val="left" w:pos="0"/>
        </w:tabs>
        <w:autoSpaceDE w:val="0"/>
        <w:autoSpaceDN w:val="0"/>
        <w:spacing w:after="0" w:line="240" w:lineRule="auto"/>
        <w:jc w:val="both"/>
        <w:rPr>
          <w:rFonts w:ascii="Arial" w:eastAsia="Times New Roman" w:hAnsi="Arial" w:cs="Arial"/>
          <w:color w:val="000000" w:themeColor="text1"/>
        </w:rPr>
      </w:pPr>
    </w:p>
    <w:p w:rsidR="00D2400B" w:rsidRPr="00374873" w:rsidRDefault="00D2400B" w:rsidP="009B194A">
      <w:pPr>
        <w:pStyle w:val="ListParagraph"/>
        <w:keepLines/>
        <w:numPr>
          <w:ilvl w:val="0"/>
          <w:numId w:val="7"/>
        </w:numPr>
        <w:tabs>
          <w:tab w:val="left" w:pos="0"/>
        </w:tabs>
        <w:autoSpaceDE w:val="0"/>
        <w:autoSpaceDN w:val="0"/>
        <w:ind w:left="0" w:hanging="357"/>
        <w:contextualSpacing w:val="0"/>
        <w:jc w:val="both"/>
        <w:rPr>
          <w:rFonts w:ascii="Arial" w:eastAsia="Times New Roman" w:hAnsi="Arial" w:cs="Arial"/>
          <w:color w:val="000000" w:themeColor="text1"/>
        </w:rPr>
      </w:pPr>
      <w:r w:rsidRPr="00374873">
        <w:rPr>
          <w:rFonts w:ascii="Arial" w:eastAsia="Times New Roman" w:hAnsi="Arial" w:cs="Arial"/>
          <w:color w:val="000000" w:themeColor="text1"/>
        </w:rPr>
        <w:t>giving a true and fair view of the company’s finan</w:t>
      </w:r>
      <w:r w:rsidR="00C336BD">
        <w:rPr>
          <w:rFonts w:ascii="Arial" w:eastAsia="Times New Roman" w:hAnsi="Arial" w:cs="Arial"/>
          <w:color w:val="000000" w:themeColor="text1"/>
        </w:rPr>
        <w:t xml:space="preserve">cial position as at 30 June </w:t>
      </w:r>
      <w:r w:rsidR="00985FF4">
        <w:rPr>
          <w:rFonts w:ascii="Arial" w:eastAsia="Times New Roman" w:hAnsi="Arial" w:cs="Arial"/>
          <w:color w:val="000000" w:themeColor="text1"/>
        </w:rPr>
        <w:t>2015</w:t>
      </w:r>
      <w:r w:rsidRPr="00374873">
        <w:rPr>
          <w:rFonts w:ascii="Arial" w:eastAsia="Times New Roman" w:hAnsi="Arial" w:cs="Arial"/>
          <w:color w:val="000000" w:themeColor="text1"/>
        </w:rPr>
        <w:t xml:space="preserve"> and of its performance for the year on that date; and</w:t>
      </w:r>
    </w:p>
    <w:p w:rsidR="00D2400B" w:rsidRPr="00374873" w:rsidRDefault="00D2400B" w:rsidP="009B194A">
      <w:pPr>
        <w:pStyle w:val="ListParagraph"/>
        <w:keepLines/>
        <w:numPr>
          <w:ilvl w:val="0"/>
          <w:numId w:val="7"/>
        </w:numPr>
        <w:tabs>
          <w:tab w:val="left" w:pos="0"/>
        </w:tabs>
        <w:autoSpaceDE w:val="0"/>
        <w:autoSpaceDN w:val="0"/>
        <w:spacing w:after="0"/>
        <w:ind w:left="0"/>
        <w:jc w:val="both"/>
        <w:rPr>
          <w:rFonts w:ascii="Arial" w:eastAsia="Times New Roman" w:hAnsi="Arial" w:cs="Arial"/>
          <w:color w:val="000000" w:themeColor="text1"/>
        </w:rPr>
      </w:pPr>
      <w:proofErr w:type="gramStart"/>
      <w:r w:rsidRPr="00374873">
        <w:rPr>
          <w:rFonts w:ascii="Arial" w:eastAsia="Times New Roman" w:hAnsi="Arial" w:cs="Arial"/>
          <w:color w:val="000000" w:themeColor="text1"/>
        </w:rPr>
        <w:t>complying</w:t>
      </w:r>
      <w:proofErr w:type="gramEnd"/>
      <w:r w:rsidRPr="00374873">
        <w:rPr>
          <w:rFonts w:ascii="Arial" w:eastAsia="Times New Roman" w:hAnsi="Arial" w:cs="Arial"/>
          <w:color w:val="000000" w:themeColor="text1"/>
        </w:rPr>
        <w:t xml:space="preserve"> with Australian Accounting Standards (including the Australian Accounting Interpretations) and the Corporations Regulations 2001.</w:t>
      </w:r>
    </w:p>
    <w:p w:rsidR="00AF5817" w:rsidRDefault="00AF5817" w:rsidP="00CC6A35">
      <w:pPr>
        <w:keepLines/>
        <w:tabs>
          <w:tab w:val="left" w:pos="0"/>
          <w:tab w:val="left" w:pos="5954"/>
        </w:tabs>
        <w:autoSpaceDE w:val="0"/>
        <w:autoSpaceDN w:val="0"/>
        <w:spacing w:after="600" w:line="240" w:lineRule="auto"/>
        <w:rPr>
          <w:rFonts w:ascii="Arial" w:eastAsia="Times New Roman" w:hAnsi="Arial" w:cs="Arial"/>
          <w:color w:val="000000" w:themeColor="text1"/>
        </w:rPr>
      </w:pPr>
    </w:p>
    <w:p w:rsidR="00AF5817" w:rsidRDefault="00CC6A35" w:rsidP="00785C9F">
      <w:pPr>
        <w:keepLines/>
        <w:tabs>
          <w:tab w:val="left" w:pos="0"/>
          <w:tab w:val="left" w:pos="5954"/>
        </w:tabs>
        <w:autoSpaceDE w:val="0"/>
        <w:autoSpaceDN w:val="0"/>
        <w:spacing w:after="120" w:line="240" w:lineRule="auto"/>
        <w:rPr>
          <w:rFonts w:ascii="Arial" w:eastAsia="Times New Roman" w:hAnsi="Arial" w:cs="Arial"/>
          <w:color w:val="000000" w:themeColor="text1"/>
        </w:rPr>
      </w:pPr>
      <w:r>
        <w:rPr>
          <w:rFonts w:ascii="Arial" w:eastAsia="Times New Roman" w:hAnsi="Arial" w:cs="Arial"/>
          <w:color w:val="000000" w:themeColor="text1"/>
        </w:rPr>
        <w:tab/>
      </w:r>
    </w:p>
    <w:p w:rsidR="00CC6A35" w:rsidRDefault="00CC6A35" w:rsidP="00CC6A35">
      <w:pPr>
        <w:keepLines/>
        <w:tabs>
          <w:tab w:val="left" w:pos="0"/>
          <w:tab w:val="left" w:pos="5529"/>
        </w:tabs>
        <w:autoSpaceDE w:val="0"/>
        <w:autoSpaceDN w:val="0"/>
        <w:spacing w:after="120" w:line="240" w:lineRule="auto"/>
        <w:rPr>
          <w:rFonts w:ascii="Arial" w:eastAsia="Times New Roman" w:hAnsi="Arial" w:cs="Arial"/>
          <w:color w:val="000000" w:themeColor="text1"/>
        </w:rPr>
      </w:pPr>
      <w:r>
        <w:rPr>
          <w:rFonts w:ascii="Arial" w:eastAsia="Times New Roman" w:hAnsi="Arial" w:cs="Arial"/>
          <w:color w:val="000000" w:themeColor="text1"/>
        </w:rPr>
        <w:tab/>
      </w:r>
      <w:r>
        <w:rPr>
          <w:rFonts w:ascii="Arial" w:eastAsia="Times New Roman" w:hAnsi="Arial" w:cs="Arial"/>
          <w:noProof/>
          <w:color w:val="000000" w:themeColor="text1"/>
          <w:lang w:eastAsia="en-AU"/>
        </w:rPr>
        <w:drawing>
          <wp:inline distT="0" distB="0" distL="0" distR="0" wp14:anchorId="12639E6E" wp14:editId="12C1A806">
            <wp:extent cx="992221" cy="583660"/>
            <wp:effectExtent l="0" t="0" r="0" b="6985"/>
            <wp:docPr id="7" name="Picture 7" descr="Signature of HW Trig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Triglone signature.png"/>
                    <pic:cNvPicPr/>
                  </pic:nvPicPr>
                  <pic:blipFill rotWithShape="1">
                    <a:blip r:embed="rId24">
                      <a:extLst>
                        <a:ext uri="{28A0092B-C50C-407E-A947-70E740481C1C}">
                          <a14:useLocalDpi xmlns:a14="http://schemas.microsoft.com/office/drawing/2010/main" val="0"/>
                        </a:ext>
                      </a:extLst>
                    </a:blip>
                    <a:srcRect b="41176"/>
                    <a:stretch/>
                  </pic:blipFill>
                  <pic:spPr bwMode="auto">
                    <a:xfrm>
                      <a:off x="0" y="0"/>
                      <a:ext cx="990738" cy="582788"/>
                    </a:xfrm>
                    <a:prstGeom prst="rect">
                      <a:avLst/>
                    </a:prstGeom>
                    <a:ln>
                      <a:noFill/>
                    </a:ln>
                    <a:extLst>
                      <a:ext uri="{53640926-AAD7-44D8-BBD7-CCE9431645EC}">
                        <a14:shadowObscured xmlns:a14="http://schemas.microsoft.com/office/drawing/2010/main"/>
                      </a:ext>
                    </a:extLst>
                  </pic:spPr>
                </pic:pic>
              </a:graphicData>
            </a:graphic>
          </wp:inline>
        </w:drawing>
      </w:r>
    </w:p>
    <w:p w:rsidR="00CC6A35" w:rsidRDefault="00CC6A35" w:rsidP="00785C9F">
      <w:pPr>
        <w:keepLines/>
        <w:tabs>
          <w:tab w:val="left" w:pos="0"/>
          <w:tab w:val="left" w:pos="5954"/>
        </w:tabs>
        <w:autoSpaceDE w:val="0"/>
        <w:autoSpaceDN w:val="0"/>
        <w:spacing w:after="120" w:line="240" w:lineRule="auto"/>
        <w:rPr>
          <w:rFonts w:ascii="Arial" w:eastAsia="Times New Roman" w:hAnsi="Arial" w:cs="Arial"/>
          <w:color w:val="000000" w:themeColor="text1"/>
        </w:rPr>
        <w:sectPr w:rsidR="00CC6A35" w:rsidSect="00786E0F">
          <w:footerReference w:type="default" r:id="rId25"/>
          <w:pgSz w:w="11906" w:h="16838"/>
          <w:pgMar w:top="1440" w:right="1440" w:bottom="1440" w:left="1440" w:header="454" w:footer="454" w:gutter="0"/>
          <w:cols w:space="708"/>
          <w:docGrid w:linePitch="360"/>
        </w:sectPr>
      </w:pPr>
    </w:p>
    <w:p w:rsidR="00D2400B" w:rsidRPr="00374873" w:rsidRDefault="00D2400B" w:rsidP="00785C9F">
      <w:pPr>
        <w:keepLines/>
        <w:tabs>
          <w:tab w:val="left" w:pos="0"/>
          <w:tab w:val="left" w:pos="5954"/>
        </w:tabs>
        <w:autoSpaceDE w:val="0"/>
        <w:autoSpaceDN w:val="0"/>
        <w:spacing w:after="120" w:line="240" w:lineRule="auto"/>
        <w:rPr>
          <w:rFonts w:ascii="Arial" w:eastAsia="Times New Roman" w:hAnsi="Arial" w:cs="Arial"/>
          <w:color w:val="000000" w:themeColor="text1"/>
        </w:rPr>
      </w:pPr>
      <w:r w:rsidRPr="00374873">
        <w:rPr>
          <w:rFonts w:ascii="Arial" w:eastAsia="Times New Roman" w:hAnsi="Arial" w:cs="Arial"/>
          <w:color w:val="000000" w:themeColor="text1"/>
        </w:rPr>
        <w:lastRenderedPageBreak/>
        <w:t xml:space="preserve">Adams </w:t>
      </w:r>
      <w:proofErr w:type="spellStart"/>
      <w:r w:rsidRPr="00374873">
        <w:rPr>
          <w:rFonts w:ascii="Arial" w:eastAsia="Times New Roman" w:hAnsi="Arial" w:cs="Arial"/>
          <w:color w:val="000000" w:themeColor="text1"/>
        </w:rPr>
        <w:t>Triglone</w:t>
      </w:r>
      <w:proofErr w:type="spellEnd"/>
      <w:r w:rsidRPr="00374873">
        <w:rPr>
          <w:rFonts w:ascii="Arial" w:eastAsia="Times New Roman" w:hAnsi="Arial" w:cs="Arial"/>
          <w:color w:val="000000" w:themeColor="text1"/>
        </w:rPr>
        <w:tab/>
      </w:r>
    </w:p>
    <w:p w:rsidR="00D2400B" w:rsidRPr="00374873" w:rsidRDefault="00D2400B" w:rsidP="00E408A8">
      <w:pPr>
        <w:keepLines/>
        <w:tabs>
          <w:tab w:val="left" w:pos="0"/>
          <w:tab w:val="left" w:pos="5954"/>
        </w:tabs>
        <w:autoSpaceDE w:val="0"/>
        <w:autoSpaceDN w:val="0"/>
        <w:spacing w:after="120" w:line="240" w:lineRule="auto"/>
        <w:rPr>
          <w:rFonts w:ascii="Arial" w:eastAsia="Times New Roman" w:hAnsi="Arial" w:cs="Arial"/>
          <w:color w:val="000000" w:themeColor="text1"/>
        </w:rPr>
      </w:pPr>
      <w:r w:rsidRPr="00374873">
        <w:rPr>
          <w:rFonts w:ascii="Arial" w:eastAsia="Times New Roman" w:hAnsi="Arial" w:cs="Arial"/>
          <w:color w:val="000000" w:themeColor="text1"/>
        </w:rPr>
        <w:t>Chartered Accountants</w:t>
      </w:r>
      <w:r w:rsidRPr="00374873">
        <w:rPr>
          <w:rFonts w:ascii="Arial" w:eastAsia="Times New Roman" w:hAnsi="Arial" w:cs="Arial"/>
          <w:color w:val="000000" w:themeColor="text1"/>
        </w:rPr>
        <w:tab/>
      </w:r>
    </w:p>
    <w:p w:rsidR="00D2400B" w:rsidRDefault="00D2400B" w:rsidP="00E408A8">
      <w:pPr>
        <w:keepLines/>
        <w:tabs>
          <w:tab w:val="left" w:pos="0"/>
          <w:tab w:val="left" w:pos="5954"/>
        </w:tabs>
        <w:autoSpaceDE w:val="0"/>
        <w:autoSpaceDN w:val="0"/>
        <w:spacing w:after="480" w:line="240" w:lineRule="auto"/>
        <w:rPr>
          <w:rFonts w:ascii="Arial" w:eastAsia="Times New Roman" w:hAnsi="Arial" w:cs="Arial"/>
          <w:color w:val="000000" w:themeColor="text1"/>
        </w:rPr>
      </w:pPr>
      <w:r w:rsidRPr="00374873">
        <w:rPr>
          <w:rFonts w:ascii="Arial" w:eastAsia="Times New Roman" w:hAnsi="Arial" w:cs="Arial"/>
          <w:color w:val="000000" w:themeColor="text1"/>
        </w:rPr>
        <w:t>Baulkham Hills</w:t>
      </w:r>
    </w:p>
    <w:p w:rsidR="00CC6A35" w:rsidRDefault="00CC6A35" w:rsidP="00CC6A35">
      <w:pPr>
        <w:keepLines/>
        <w:tabs>
          <w:tab w:val="left" w:pos="5954"/>
        </w:tabs>
        <w:autoSpaceDE w:val="0"/>
        <w:autoSpaceDN w:val="0"/>
        <w:spacing w:after="120" w:line="240" w:lineRule="auto"/>
        <w:ind w:left="567"/>
        <w:rPr>
          <w:rFonts w:ascii="Arial" w:eastAsia="Times New Roman" w:hAnsi="Arial" w:cs="Arial"/>
          <w:color w:val="000000" w:themeColor="text1"/>
        </w:rPr>
      </w:pPr>
      <w:r w:rsidRPr="00374873">
        <w:rPr>
          <w:rFonts w:ascii="Arial" w:eastAsia="Times New Roman" w:hAnsi="Arial" w:cs="Arial"/>
          <w:color w:val="000000" w:themeColor="text1"/>
        </w:rPr>
        <w:lastRenderedPageBreak/>
        <w:t xml:space="preserve">H W </w:t>
      </w:r>
      <w:proofErr w:type="spellStart"/>
      <w:r w:rsidRPr="00374873">
        <w:rPr>
          <w:rFonts w:ascii="Arial" w:eastAsia="Times New Roman" w:hAnsi="Arial" w:cs="Arial"/>
          <w:color w:val="000000" w:themeColor="text1"/>
        </w:rPr>
        <w:t>Triglone</w:t>
      </w:r>
      <w:proofErr w:type="spellEnd"/>
    </w:p>
    <w:p w:rsidR="00CC6A35" w:rsidRPr="00374873" w:rsidRDefault="00CC6A35" w:rsidP="00CC6A35">
      <w:pPr>
        <w:keepLines/>
        <w:tabs>
          <w:tab w:val="left" w:pos="5954"/>
        </w:tabs>
        <w:autoSpaceDE w:val="0"/>
        <w:autoSpaceDN w:val="0"/>
        <w:spacing w:after="0" w:line="240" w:lineRule="auto"/>
        <w:ind w:left="567"/>
        <w:rPr>
          <w:rFonts w:ascii="Arial" w:eastAsia="Times New Roman" w:hAnsi="Arial" w:cs="Arial"/>
          <w:color w:val="000000" w:themeColor="text1"/>
        </w:rPr>
      </w:pPr>
      <w:r w:rsidRPr="00374873">
        <w:rPr>
          <w:rFonts w:ascii="Arial" w:eastAsia="Times New Roman" w:hAnsi="Arial" w:cs="Arial"/>
          <w:color w:val="000000" w:themeColor="text1"/>
        </w:rPr>
        <w:t>Partner</w:t>
      </w:r>
    </w:p>
    <w:p w:rsidR="00CC6A35" w:rsidRDefault="00CC6A35" w:rsidP="00E408A8">
      <w:pPr>
        <w:keepLines/>
        <w:tabs>
          <w:tab w:val="left" w:pos="0"/>
          <w:tab w:val="left" w:pos="5954"/>
        </w:tabs>
        <w:autoSpaceDE w:val="0"/>
        <w:autoSpaceDN w:val="0"/>
        <w:spacing w:after="480" w:line="240" w:lineRule="auto"/>
        <w:rPr>
          <w:rFonts w:ascii="Arial" w:eastAsia="Times New Roman" w:hAnsi="Arial" w:cs="Arial"/>
          <w:color w:val="000000" w:themeColor="text1"/>
        </w:rPr>
        <w:sectPr w:rsidR="00CC6A35" w:rsidSect="00CC6A35">
          <w:type w:val="continuous"/>
          <w:pgSz w:w="11906" w:h="16838"/>
          <w:pgMar w:top="1440" w:right="1440" w:bottom="1440" w:left="1440" w:header="454" w:footer="454" w:gutter="0"/>
          <w:cols w:num="2" w:space="708"/>
          <w:docGrid w:linePitch="360"/>
        </w:sectPr>
      </w:pPr>
    </w:p>
    <w:p w:rsidR="002E40EE" w:rsidRPr="002E40EE" w:rsidRDefault="00D2400B" w:rsidP="00CC6A35">
      <w:pPr>
        <w:keepLines/>
        <w:tabs>
          <w:tab w:val="left" w:pos="0"/>
          <w:tab w:val="left" w:pos="3544"/>
          <w:tab w:val="left" w:pos="5954"/>
        </w:tabs>
        <w:autoSpaceDE w:val="0"/>
        <w:autoSpaceDN w:val="0"/>
        <w:spacing w:before="1440" w:after="120" w:line="240" w:lineRule="auto"/>
      </w:pPr>
      <w:r w:rsidRPr="003226E6">
        <w:rPr>
          <w:rFonts w:ascii="Arial" w:eastAsia="Times New Roman" w:hAnsi="Arial" w:cs="Arial"/>
        </w:rPr>
        <w:lastRenderedPageBreak/>
        <w:t>Dated this</w:t>
      </w:r>
      <w:r w:rsidR="00207A92">
        <w:rPr>
          <w:rFonts w:ascii="Arial" w:eastAsia="Times New Roman" w:hAnsi="Arial" w:cs="Arial"/>
        </w:rPr>
        <w:t xml:space="preserve"> </w:t>
      </w:r>
      <w:r w:rsidR="00CC6A35">
        <w:rPr>
          <w:rFonts w:ascii="Arial" w:eastAsia="Times New Roman" w:hAnsi="Arial" w:cs="Arial"/>
        </w:rPr>
        <w:t>10</w:t>
      </w:r>
      <w:r w:rsidR="00CC6A35" w:rsidRPr="00CC6A35">
        <w:rPr>
          <w:rFonts w:ascii="Arial" w:eastAsia="Times New Roman" w:hAnsi="Arial" w:cs="Arial"/>
          <w:vertAlign w:val="superscript"/>
        </w:rPr>
        <w:t>th</w:t>
      </w:r>
      <w:r w:rsidR="00CC6A35">
        <w:rPr>
          <w:rFonts w:ascii="Arial" w:eastAsia="Times New Roman" w:hAnsi="Arial" w:cs="Arial"/>
        </w:rPr>
        <w:t xml:space="preserve"> day of November 2015</w:t>
      </w:r>
    </w:p>
    <w:sectPr w:rsidR="002E40EE" w:rsidRPr="002E40EE" w:rsidSect="00CC6A35">
      <w:type w:val="continuous"/>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0A" w:rsidRDefault="0043400A" w:rsidP="00A7286E">
      <w:r>
        <w:separator/>
      </w:r>
    </w:p>
  </w:endnote>
  <w:endnote w:type="continuationSeparator" w:id="0">
    <w:p w:rsidR="0043400A" w:rsidRDefault="0043400A"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685836339"/>
      <w:docPartObj>
        <w:docPartGallery w:val="Page Numbers (Bottom of Page)"/>
        <w:docPartUnique/>
      </w:docPartObj>
    </w:sdtPr>
    <w:sdtEndPr>
      <w:rPr>
        <w:noProof/>
      </w:rPr>
    </w:sdtEndPr>
    <w:sdtContent>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861"/>
        </w:tblGrid>
        <w:tr w:rsidR="0043400A" w:rsidTr="00EE6DB0">
          <w:trPr>
            <w:cnfStyle w:val="100000000000" w:firstRow="1" w:lastRow="0" w:firstColumn="0" w:lastColumn="0" w:oddVBand="0" w:evenVBand="0" w:oddHBand="0" w:evenHBand="0" w:firstRowFirstColumn="0" w:firstRowLastColumn="0" w:lastRowFirstColumn="0" w:lastRowLastColumn="0"/>
          </w:trPr>
          <w:tc>
            <w:tcPr>
              <w:tcW w:w="4603" w:type="dxa"/>
              <w:vAlign w:val="bottom"/>
            </w:tcPr>
            <w:p w:rsidR="0043400A" w:rsidRDefault="0043400A" w:rsidP="00712543">
              <w:pPr>
                <w:pStyle w:val="Footer"/>
                <w:tabs>
                  <w:tab w:val="clear" w:pos="255"/>
                </w:tabs>
              </w:pPr>
              <w:r>
                <w:rPr>
                  <w:noProof/>
                  <w:lang w:val="en-AU" w:eastAsia="en-AU"/>
                </w:rPr>
                <w:drawing>
                  <wp:inline distT="0" distB="0" distL="0" distR="0" wp14:anchorId="3CD1F324" wp14:editId="5D69707C">
                    <wp:extent cx="1234578" cy="648000"/>
                    <wp:effectExtent l="0" t="0" r="3810" b="0"/>
                    <wp:docPr id="3" name="Picture 3" descr="Media Acces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4861" w:type="dxa"/>
              <w:vAlign w:val="bottom"/>
            </w:tcPr>
            <w:p w:rsidR="0043400A" w:rsidRPr="00CF3218" w:rsidRDefault="0043400A" w:rsidP="00ED467E">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320E62">
                <w:rPr>
                  <w:noProof/>
                  <w:color w:val="000000" w:themeColor="text2"/>
                  <w:sz w:val="18"/>
                  <w:szCs w:val="18"/>
                  <w:lang w:val="en-AU" w:eastAsia="en-AU"/>
                </w:rPr>
                <w:t>8</w:t>
              </w:r>
              <w:r w:rsidRPr="00CF3218">
                <w:rPr>
                  <w:noProof/>
                  <w:color w:val="000000" w:themeColor="text2"/>
                  <w:sz w:val="18"/>
                  <w:szCs w:val="18"/>
                  <w:lang w:val="en-AU" w:eastAsia="en-AU"/>
                </w:rPr>
                <w:fldChar w:fldCharType="end"/>
              </w:r>
            </w:p>
          </w:tc>
        </w:tr>
      </w:tbl>
      <w:p w:rsidR="0043400A" w:rsidRDefault="0043400A" w:rsidP="004B6628">
        <w:pPr>
          <w:pStyle w:val="Footer"/>
        </w:pPr>
      </w:p>
    </w:sdtContent>
  </w:sdt>
  <w:p w:rsidR="0043400A" w:rsidRPr="00164128" w:rsidRDefault="0043400A" w:rsidP="004B6628">
    <w:pPr>
      <w:pStyle w:val="1pixel"/>
      <w:tabs>
        <w:tab w:val="clear" w:pos="255"/>
      </w:tabs>
      <w:ind w:left="567"/>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311790333"/>
      <w:docPartObj>
        <w:docPartGallery w:val="Page Numbers (Bottom of Page)"/>
        <w:docPartUnique/>
      </w:docPartObj>
    </w:sdtPr>
    <w:sdtEndPr>
      <w:rPr>
        <w:noProof/>
      </w:rPr>
    </w:sdtEndPr>
    <w:sdtContent>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861"/>
        </w:tblGrid>
        <w:tr w:rsidR="0043400A" w:rsidTr="00EE6DB0">
          <w:trPr>
            <w:cnfStyle w:val="100000000000" w:firstRow="1" w:lastRow="0" w:firstColumn="0" w:lastColumn="0" w:oddVBand="0" w:evenVBand="0" w:oddHBand="0" w:evenHBand="0" w:firstRowFirstColumn="0" w:firstRowLastColumn="0" w:lastRowFirstColumn="0" w:lastRowLastColumn="0"/>
          </w:trPr>
          <w:tc>
            <w:tcPr>
              <w:tcW w:w="4603" w:type="dxa"/>
              <w:vAlign w:val="bottom"/>
            </w:tcPr>
            <w:p w:rsidR="0043400A" w:rsidRDefault="0043400A" w:rsidP="00712543">
              <w:pPr>
                <w:pStyle w:val="Footer"/>
                <w:tabs>
                  <w:tab w:val="clear" w:pos="255"/>
                </w:tabs>
              </w:pPr>
              <w:r>
                <w:rPr>
                  <w:noProof/>
                  <w:lang w:val="en-AU" w:eastAsia="en-AU"/>
                </w:rPr>
                <w:drawing>
                  <wp:inline distT="0" distB="0" distL="0" distR="0" wp14:anchorId="43211836" wp14:editId="67AAA81B">
                    <wp:extent cx="1234578" cy="648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4861" w:type="dxa"/>
              <w:vAlign w:val="bottom"/>
            </w:tcPr>
            <w:p w:rsidR="0043400A" w:rsidRPr="00CF3218" w:rsidRDefault="0043400A" w:rsidP="00ED467E">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700693">
                <w:rPr>
                  <w:noProof/>
                  <w:color w:val="000000" w:themeColor="text2"/>
                  <w:sz w:val="18"/>
                  <w:szCs w:val="18"/>
                  <w:lang w:val="en-AU" w:eastAsia="en-AU"/>
                </w:rPr>
                <w:t>11</w:t>
              </w:r>
              <w:r w:rsidRPr="00CF3218">
                <w:rPr>
                  <w:noProof/>
                  <w:color w:val="000000" w:themeColor="text2"/>
                  <w:sz w:val="18"/>
                  <w:szCs w:val="18"/>
                  <w:lang w:val="en-AU" w:eastAsia="en-AU"/>
                </w:rPr>
                <w:fldChar w:fldCharType="end"/>
              </w:r>
            </w:p>
          </w:tc>
        </w:tr>
      </w:tbl>
      <w:p w:rsidR="0043400A" w:rsidRDefault="0043400A" w:rsidP="004B6628">
        <w:pPr>
          <w:pStyle w:val="Footer"/>
        </w:pPr>
      </w:p>
    </w:sdtContent>
  </w:sdt>
  <w:p w:rsidR="0043400A" w:rsidRPr="00164128" w:rsidRDefault="0043400A" w:rsidP="004B6628">
    <w:pPr>
      <w:pStyle w:val="1pixel"/>
      <w:tabs>
        <w:tab w:val="clear" w:pos="255"/>
      </w:tabs>
      <w:ind w:left="567"/>
      <w:rPr>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861"/>
    </w:tblGrid>
    <w:tr w:rsidR="0043400A" w:rsidTr="00134384">
      <w:trPr>
        <w:cnfStyle w:val="100000000000" w:firstRow="1" w:lastRow="0" w:firstColumn="0" w:lastColumn="0" w:oddVBand="0" w:evenVBand="0" w:oddHBand="0" w:evenHBand="0" w:firstRowFirstColumn="0" w:firstRowLastColumn="0" w:lastRowFirstColumn="0" w:lastRowLastColumn="0"/>
      </w:trPr>
      <w:tc>
        <w:tcPr>
          <w:tcW w:w="4603" w:type="dxa"/>
          <w:vAlign w:val="bottom"/>
        </w:tcPr>
        <w:p w:rsidR="0043400A" w:rsidRDefault="0043400A" w:rsidP="00712543">
          <w:pPr>
            <w:pStyle w:val="Footer"/>
          </w:pPr>
          <w:r>
            <w:rPr>
              <w:noProof/>
              <w:lang w:val="en-AU" w:eastAsia="en-AU"/>
            </w:rPr>
            <w:drawing>
              <wp:inline distT="0" distB="0" distL="0" distR="0" wp14:anchorId="14201424" wp14:editId="2DB17774">
                <wp:extent cx="1234578" cy="6480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4861" w:type="dxa"/>
          <w:vAlign w:val="bottom"/>
        </w:tcPr>
        <w:p w:rsidR="0043400A" w:rsidRPr="00CF3218" w:rsidRDefault="0043400A" w:rsidP="00134384">
          <w:pPr>
            <w:pStyle w:val="Footer"/>
            <w:tabs>
              <w:tab w:val="left" w:pos="4645"/>
            </w:tabs>
            <w:ind w:right="-108"/>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320E62">
            <w:rPr>
              <w:noProof/>
              <w:color w:val="000000" w:themeColor="text2"/>
              <w:sz w:val="18"/>
              <w:szCs w:val="18"/>
              <w:lang w:val="en-AU" w:eastAsia="en-AU"/>
            </w:rPr>
            <w:t>34</w:t>
          </w:r>
          <w:r w:rsidRPr="00CF3218">
            <w:rPr>
              <w:noProof/>
              <w:color w:val="000000" w:themeColor="text2"/>
              <w:sz w:val="18"/>
              <w:szCs w:val="18"/>
              <w:lang w:val="en-AU" w:eastAsia="en-AU"/>
            </w:rPr>
            <w:fldChar w:fldCharType="end"/>
          </w:r>
        </w:p>
      </w:tc>
    </w:tr>
  </w:tbl>
  <w:p w:rsidR="0043400A" w:rsidRPr="00CF3218" w:rsidRDefault="0043400A"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0A" w:rsidRDefault="0043400A" w:rsidP="00A7286E">
      <w:r>
        <w:separator/>
      </w:r>
    </w:p>
  </w:footnote>
  <w:footnote w:type="continuationSeparator" w:id="0">
    <w:p w:rsidR="0043400A" w:rsidRDefault="0043400A" w:rsidP="00A7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0A" w:rsidRPr="00D2400B" w:rsidRDefault="0043400A" w:rsidP="00523CA1">
    <w:pPr>
      <w:jc w:val="center"/>
      <w:rPr>
        <w:b/>
        <w:sz w:val="24"/>
        <w:szCs w:val="24"/>
      </w:rPr>
    </w:pPr>
    <w:r w:rsidRPr="00D2400B">
      <w:rPr>
        <w:b/>
      </w:rPr>
      <w:t>MEDIA ACCESS AUSTRALIA</w:t>
    </w:r>
    <w:r w:rsidRPr="00D2400B">
      <w:rPr>
        <w:b/>
      </w:rPr>
      <w:br/>
    </w:r>
    <w:r w:rsidRPr="00D2400B">
      <w:rPr>
        <w:b/>
        <w:sz w:val="24"/>
        <w:szCs w:val="24"/>
      </w:rPr>
      <w:t>ABN 75 002 259 154</w:t>
    </w:r>
  </w:p>
  <w:p w:rsidR="0043400A" w:rsidRDefault="004340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0A" w:rsidRPr="00523CA1" w:rsidRDefault="0043400A" w:rsidP="00523CA1">
    <w:pPr>
      <w:pStyle w:val="Header"/>
      <w:tabs>
        <w:tab w:val="left" w:pos="234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E2"/>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nsid w:val="033E7FC2"/>
    <w:multiLevelType w:val="hybridMultilevel"/>
    <w:tmpl w:val="01B61F86"/>
    <w:lvl w:ilvl="0" w:tplc="D62C1288">
      <w:start w:val="1"/>
      <w:numFmt w:val="decimal"/>
      <w:lvlText w:val="%1."/>
      <w:lvlJc w:val="left"/>
      <w:pPr>
        <w:ind w:left="1725" w:hanging="555"/>
      </w:pPr>
      <w:rPr>
        <w:rFonts w:asciiTheme="minorHAnsi" w:hAnsiTheme="minorHAnsi" w:cstheme="minorHAnsi" w:hint="default"/>
        <w:b w:val="0"/>
        <w:sz w:val="36"/>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
    <w:nsid w:val="06B90665"/>
    <w:multiLevelType w:val="hybridMultilevel"/>
    <w:tmpl w:val="4D308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7D2DDB"/>
    <w:multiLevelType w:val="hybridMultilevel"/>
    <w:tmpl w:val="AF109FA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09E427E4"/>
    <w:multiLevelType w:val="hybridMultilevel"/>
    <w:tmpl w:val="6DD63DFE"/>
    <w:lvl w:ilvl="0" w:tplc="D62C1288">
      <w:start w:val="1"/>
      <w:numFmt w:val="decimal"/>
      <w:lvlText w:val="%1."/>
      <w:lvlJc w:val="left"/>
      <w:pPr>
        <w:ind w:left="1725" w:hanging="555"/>
      </w:pPr>
      <w:rPr>
        <w:rFonts w:asciiTheme="minorHAnsi" w:hAnsiTheme="minorHAnsi" w:cstheme="minorHAnsi" w:hint="default"/>
        <w:b w:val="0"/>
        <w:sz w:val="36"/>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nsid w:val="112449A8"/>
    <w:multiLevelType w:val="hybridMultilevel"/>
    <w:tmpl w:val="DB04CE90"/>
    <w:lvl w:ilvl="0" w:tplc="D62C1288">
      <w:start w:val="1"/>
      <w:numFmt w:val="decimal"/>
      <w:lvlText w:val="%1."/>
      <w:lvlJc w:val="left"/>
      <w:pPr>
        <w:ind w:left="1275" w:hanging="555"/>
      </w:pPr>
      <w:rPr>
        <w:rFonts w:asciiTheme="minorHAnsi" w:hAnsiTheme="minorHAnsi" w:cstheme="minorHAnsi" w:hint="default"/>
        <w:b w:val="0"/>
        <w:sz w:val="36"/>
      </w:rPr>
    </w:lvl>
    <w:lvl w:ilvl="1" w:tplc="0C090019" w:tentative="1">
      <w:start w:val="1"/>
      <w:numFmt w:val="lowerLetter"/>
      <w:lvlText w:val="%2."/>
      <w:lvlJc w:val="left"/>
      <w:pPr>
        <w:ind w:left="990" w:hanging="360"/>
      </w:pPr>
    </w:lvl>
    <w:lvl w:ilvl="2" w:tplc="0C09001B" w:tentative="1">
      <w:start w:val="1"/>
      <w:numFmt w:val="lowerRoman"/>
      <w:lvlText w:val="%3."/>
      <w:lvlJc w:val="right"/>
      <w:pPr>
        <w:ind w:left="1710" w:hanging="180"/>
      </w:pPr>
    </w:lvl>
    <w:lvl w:ilvl="3" w:tplc="0C09000F" w:tentative="1">
      <w:start w:val="1"/>
      <w:numFmt w:val="decimal"/>
      <w:lvlText w:val="%4."/>
      <w:lvlJc w:val="left"/>
      <w:pPr>
        <w:ind w:left="2430" w:hanging="360"/>
      </w:pPr>
    </w:lvl>
    <w:lvl w:ilvl="4" w:tplc="0C090019" w:tentative="1">
      <w:start w:val="1"/>
      <w:numFmt w:val="lowerLetter"/>
      <w:lvlText w:val="%5."/>
      <w:lvlJc w:val="left"/>
      <w:pPr>
        <w:ind w:left="3150" w:hanging="360"/>
      </w:pPr>
    </w:lvl>
    <w:lvl w:ilvl="5" w:tplc="0C09001B" w:tentative="1">
      <w:start w:val="1"/>
      <w:numFmt w:val="lowerRoman"/>
      <w:lvlText w:val="%6."/>
      <w:lvlJc w:val="right"/>
      <w:pPr>
        <w:ind w:left="3870" w:hanging="180"/>
      </w:pPr>
    </w:lvl>
    <w:lvl w:ilvl="6" w:tplc="0C09000F" w:tentative="1">
      <w:start w:val="1"/>
      <w:numFmt w:val="decimal"/>
      <w:lvlText w:val="%7."/>
      <w:lvlJc w:val="left"/>
      <w:pPr>
        <w:ind w:left="4590" w:hanging="360"/>
      </w:pPr>
    </w:lvl>
    <w:lvl w:ilvl="7" w:tplc="0C090019" w:tentative="1">
      <w:start w:val="1"/>
      <w:numFmt w:val="lowerLetter"/>
      <w:lvlText w:val="%8."/>
      <w:lvlJc w:val="left"/>
      <w:pPr>
        <w:ind w:left="5310" w:hanging="360"/>
      </w:pPr>
    </w:lvl>
    <w:lvl w:ilvl="8" w:tplc="0C09001B" w:tentative="1">
      <w:start w:val="1"/>
      <w:numFmt w:val="lowerRoman"/>
      <w:lvlText w:val="%9."/>
      <w:lvlJc w:val="right"/>
      <w:pPr>
        <w:ind w:left="6030" w:hanging="180"/>
      </w:pPr>
    </w:lvl>
  </w:abstractNum>
  <w:abstractNum w:abstractNumId="6">
    <w:nsid w:val="1149620A"/>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nsid w:val="12AD3AE9"/>
    <w:multiLevelType w:val="multilevel"/>
    <w:tmpl w:val="391EBED6"/>
    <w:lvl w:ilvl="0">
      <w:start w:val="1"/>
      <w:numFmt w:val="decimal"/>
      <w:lvlText w:val="%1)"/>
      <w:lvlJc w:val="left"/>
      <w:pPr>
        <w:ind w:left="1797" w:hanging="357"/>
      </w:pPr>
      <w:rPr>
        <w:rFonts w:hint="default"/>
      </w:rPr>
    </w:lvl>
    <w:lvl w:ilvl="1">
      <w:start w:val="1"/>
      <w:numFmt w:val="lowerLetter"/>
      <w:lvlText w:val="%2)"/>
      <w:lvlJc w:val="left"/>
      <w:pPr>
        <w:ind w:left="2154" w:hanging="357"/>
      </w:pPr>
      <w:rPr>
        <w:rFonts w:hint="default"/>
      </w:rPr>
    </w:lvl>
    <w:lvl w:ilvl="2">
      <w:start w:val="1"/>
      <w:numFmt w:val="lowerRoman"/>
      <w:lvlText w:val="%3)"/>
      <w:lvlJc w:val="left"/>
      <w:pPr>
        <w:ind w:left="2511" w:hanging="357"/>
      </w:pPr>
      <w:rPr>
        <w:rFonts w:hint="default"/>
      </w:rPr>
    </w:lvl>
    <w:lvl w:ilvl="3">
      <w:start w:val="1"/>
      <w:numFmt w:val="decimal"/>
      <w:lvlText w:val="(%4)"/>
      <w:lvlJc w:val="left"/>
      <w:pPr>
        <w:ind w:left="2868" w:hanging="357"/>
      </w:pPr>
      <w:rPr>
        <w:rFonts w:hint="default"/>
      </w:rPr>
    </w:lvl>
    <w:lvl w:ilvl="4">
      <w:start w:val="1"/>
      <w:numFmt w:val="lowerLetter"/>
      <w:lvlText w:val="(%5)"/>
      <w:lvlJc w:val="left"/>
      <w:pPr>
        <w:ind w:left="3225" w:hanging="357"/>
      </w:pPr>
      <w:rPr>
        <w:rFonts w:hint="default"/>
      </w:rPr>
    </w:lvl>
    <w:lvl w:ilvl="5">
      <w:start w:val="1"/>
      <w:numFmt w:val="lowerRoman"/>
      <w:lvlText w:val="(%6)"/>
      <w:lvlJc w:val="left"/>
      <w:pPr>
        <w:ind w:left="3582" w:hanging="357"/>
      </w:pPr>
      <w:rPr>
        <w:rFonts w:hint="default"/>
      </w:rPr>
    </w:lvl>
    <w:lvl w:ilvl="6">
      <w:start w:val="1"/>
      <w:numFmt w:val="decimal"/>
      <w:lvlText w:val="%7."/>
      <w:lvlJc w:val="left"/>
      <w:pPr>
        <w:ind w:left="3939" w:hanging="357"/>
      </w:pPr>
      <w:rPr>
        <w:rFonts w:hint="default"/>
      </w:rPr>
    </w:lvl>
    <w:lvl w:ilvl="7">
      <w:start w:val="1"/>
      <w:numFmt w:val="lowerLetter"/>
      <w:lvlText w:val="%8."/>
      <w:lvlJc w:val="left"/>
      <w:pPr>
        <w:ind w:left="4296" w:hanging="357"/>
      </w:pPr>
      <w:rPr>
        <w:rFonts w:hint="default"/>
      </w:rPr>
    </w:lvl>
    <w:lvl w:ilvl="8">
      <w:start w:val="1"/>
      <w:numFmt w:val="lowerRoman"/>
      <w:lvlText w:val="%9."/>
      <w:lvlJc w:val="left"/>
      <w:pPr>
        <w:ind w:left="4653" w:hanging="357"/>
      </w:pPr>
      <w:rPr>
        <w:rFonts w:hint="default"/>
      </w:rPr>
    </w:lvl>
  </w:abstractNum>
  <w:abstractNum w:abstractNumId="8">
    <w:nsid w:val="18687C87"/>
    <w:multiLevelType w:val="hybridMultilevel"/>
    <w:tmpl w:val="249002F8"/>
    <w:lvl w:ilvl="0" w:tplc="D62C1288">
      <w:start w:val="1"/>
      <w:numFmt w:val="decimal"/>
      <w:lvlText w:val="%1."/>
      <w:lvlJc w:val="left"/>
      <w:pPr>
        <w:ind w:left="1725" w:hanging="555"/>
      </w:pPr>
      <w:rPr>
        <w:rFonts w:asciiTheme="minorHAnsi" w:hAnsiTheme="minorHAnsi" w:cstheme="minorHAnsi" w:hint="default"/>
        <w:b w:val="0"/>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BB01F5"/>
    <w:multiLevelType w:val="hybridMultilevel"/>
    <w:tmpl w:val="1986ADC2"/>
    <w:lvl w:ilvl="0" w:tplc="B470AD62">
      <w:numFmt w:val="bullet"/>
      <w:lvlText w:val="-"/>
      <w:lvlJc w:val="left"/>
      <w:pPr>
        <w:ind w:left="1554" w:hanging="360"/>
      </w:pPr>
      <w:rPr>
        <w:rFonts w:ascii="Arial" w:eastAsiaTheme="minorHAnsi" w:hAnsi="Arial" w:cs="Arial" w:hint="default"/>
      </w:rPr>
    </w:lvl>
    <w:lvl w:ilvl="1" w:tplc="0C090003" w:tentative="1">
      <w:start w:val="1"/>
      <w:numFmt w:val="bullet"/>
      <w:lvlText w:val="o"/>
      <w:lvlJc w:val="left"/>
      <w:pPr>
        <w:ind w:left="2274" w:hanging="360"/>
      </w:pPr>
      <w:rPr>
        <w:rFonts w:ascii="Courier New" w:hAnsi="Courier New" w:cs="Courier New" w:hint="default"/>
      </w:rPr>
    </w:lvl>
    <w:lvl w:ilvl="2" w:tplc="0C090005" w:tentative="1">
      <w:start w:val="1"/>
      <w:numFmt w:val="bullet"/>
      <w:lvlText w:val=""/>
      <w:lvlJc w:val="left"/>
      <w:pPr>
        <w:ind w:left="2994" w:hanging="360"/>
      </w:pPr>
      <w:rPr>
        <w:rFonts w:ascii="Wingdings" w:hAnsi="Wingdings" w:hint="default"/>
      </w:rPr>
    </w:lvl>
    <w:lvl w:ilvl="3" w:tplc="0C090001" w:tentative="1">
      <w:start w:val="1"/>
      <w:numFmt w:val="bullet"/>
      <w:lvlText w:val=""/>
      <w:lvlJc w:val="left"/>
      <w:pPr>
        <w:ind w:left="3714" w:hanging="360"/>
      </w:pPr>
      <w:rPr>
        <w:rFonts w:ascii="Symbol" w:hAnsi="Symbol" w:hint="default"/>
      </w:rPr>
    </w:lvl>
    <w:lvl w:ilvl="4" w:tplc="0C090003" w:tentative="1">
      <w:start w:val="1"/>
      <w:numFmt w:val="bullet"/>
      <w:lvlText w:val="o"/>
      <w:lvlJc w:val="left"/>
      <w:pPr>
        <w:ind w:left="4434" w:hanging="360"/>
      </w:pPr>
      <w:rPr>
        <w:rFonts w:ascii="Courier New" w:hAnsi="Courier New" w:cs="Courier New" w:hint="default"/>
      </w:rPr>
    </w:lvl>
    <w:lvl w:ilvl="5" w:tplc="0C090005" w:tentative="1">
      <w:start w:val="1"/>
      <w:numFmt w:val="bullet"/>
      <w:lvlText w:val=""/>
      <w:lvlJc w:val="left"/>
      <w:pPr>
        <w:ind w:left="5154" w:hanging="360"/>
      </w:pPr>
      <w:rPr>
        <w:rFonts w:ascii="Wingdings" w:hAnsi="Wingdings" w:hint="default"/>
      </w:rPr>
    </w:lvl>
    <w:lvl w:ilvl="6" w:tplc="0C090001" w:tentative="1">
      <w:start w:val="1"/>
      <w:numFmt w:val="bullet"/>
      <w:lvlText w:val=""/>
      <w:lvlJc w:val="left"/>
      <w:pPr>
        <w:ind w:left="5874" w:hanging="360"/>
      </w:pPr>
      <w:rPr>
        <w:rFonts w:ascii="Symbol" w:hAnsi="Symbol" w:hint="default"/>
      </w:rPr>
    </w:lvl>
    <w:lvl w:ilvl="7" w:tplc="0C090003" w:tentative="1">
      <w:start w:val="1"/>
      <w:numFmt w:val="bullet"/>
      <w:lvlText w:val="o"/>
      <w:lvlJc w:val="left"/>
      <w:pPr>
        <w:ind w:left="6594" w:hanging="360"/>
      </w:pPr>
      <w:rPr>
        <w:rFonts w:ascii="Courier New" w:hAnsi="Courier New" w:cs="Courier New" w:hint="default"/>
      </w:rPr>
    </w:lvl>
    <w:lvl w:ilvl="8" w:tplc="0C090005" w:tentative="1">
      <w:start w:val="1"/>
      <w:numFmt w:val="bullet"/>
      <w:lvlText w:val=""/>
      <w:lvlJc w:val="left"/>
      <w:pPr>
        <w:ind w:left="7314" w:hanging="360"/>
      </w:pPr>
      <w:rPr>
        <w:rFonts w:ascii="Wingdings" w:hAnsi="Wingdings" w:hint="default"/>
      </w:rPr>
    </w:lvl>
  </w:abstractNum>
  <w:abstractNum w:abstractNumId="10">
    <w:nsid w:val="19075CC9"/>
    <w:multiLevelType w:val="hybridMultilevel"/>
    <w:tmpl w:val="9DB84C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0D2D04"/>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nsid w:val="1A91614A"/>
    <w:multiLevelType w:val="hybridMultilevel"/>
    <w:tmpl w:val="2BBE83A4"/>
    <w:lvl w:ilvl="0" w:tplc="13145C5C">
      <w:start w:val="7"/>
      <w:numFmt w:val="decimal"/>
      <w:lvlText w:val="%1."/>
      <w:lvlJc w:val="left"/>
      <w:pPr>
        <w:ind w:left="4382" w:hanging="555"/>
      </w:pPr>
      <w:rPr>
        <w:rFonts w:asciiTheme="minorHAnsi" w:hAnsiTheme="minorHAnsi" w:cstheme="minorHAnsi" w:hint="default"/>
        <w:b w:val="0"/>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38702D"/>
    <w:multiLevelType w:val="multilevel"/>
    <w:tmpl w:val="4D308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7B392A"/>
    <w:multiLevelType w:val="hybridMultilevel"/>
    <w:tmpl w:val="F45E477A"/>
    <w:lvl w:ilvl="0" w:tplc="85B01B62">
      <w:start w:val="2010"/>
      <w:numFmt w:val="bullet"/>
      <w:lvlText w:val="-"/>
      <w:lvlJc w:val="left"/>
      <w:pPr>
        <w:ind w:left="1536" w:hanging="360"/>
      </w:pPr>
      <w:rPr>
        <w:rFonts w:ascii="Times New Roman" w:eastAsiaTheme="minorEastAsia" w:hAnsi="Times New Roman" w:hint="default"/>
      </w:rPr>
    </w:lvl>
    <w:lvl w:ilvl="1" w:tplc="04090003">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5">
    <w:nsid w:val="1DA328F1"/>
    <w:multiLevelType w:val="hybridMultilevel"/>
    <w:tmpl w:val="18560F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3A75C9"/>
    <w:multiLevelType w:val="multilevel"/>
    <w:tmpl w:val="DDC6A7C6"/>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nsid w:val="27231742"/>
    <w:multiLevelType w:val="hybridMultilevel"/>
    <w:tmpl w:val="EF02B98A"/>
    <w:lvl w:ilvl="0" w:tplc="0C090019">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8">
    <w:nsid w:val="27FF12DE"/>
    <w:multiLevelType w:val="hybridMultilevel"/>
    <w:tmpl w:val="0B7E225A"/>
    <w:lvl w:ilvl="0" w:tplc="B470AD62">
      <w:numFmt w:val="bullet"/>
      <w:lvlText w:val="-"/>
      <w:lvlJc w:val="left"/>
      <w:pPr>
        <w:ind w:left="1854" w:hanging="360"/>
      </w:pPr>
      <w:rPr>
        <w:rFonts w:ascii="Arial" w:eastAsiaTheme="minorHAnsi" w:hAnsi="Arial" w:cs="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283652B2"/>
    <w:multiLevelType w:val="hybridMultilevel"/>
    <w:tmpl w:val="85A69D50"/>
    <w:lvl w:ilvl="0" w:tplc="8EEA3DAA">
      <w:start w:val="1"/>
      <w:numFmt w:val="lowerLetter"/>
      <w:lvlText w:val="(%1)"/>
      <w:lvlJc w:val="left"/>
      <w:pPr>
        <w:ind w:left="1725" w:hanging="555"/>
      </w:pPr>
      <w:rPr>
        <w:rFonts w:cs="Times New Roman" w:hint="default"/>
        <w:b/>
        <w:color w:val="000000"/>
        <w:sz w:val="22"/>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0">
    <w:nsid w:val="2CDE0D36"/>
    <w:multiLevelType w:val="hybridMultilevel"/>
    <w:tmpl w:val="F5B4A4C4"/>
    <w:lvl w:ilvl="0" w:tplc="B470AD62">
      <w:numFmt w:val="bullet"/>
      <w:lvlText w:val="-"/>
      <w:lvlJc w:val="left"/>
      <w:pPr>
        <w:ind w:left="1854" w:hanging="360"/>
      </w:pPr>
      <w:rPr>
        <w:rFonts w:ascii="Arial" w:eastAsiaTheme="minorHAnsi" w:hAnsi="Arial" w:cs="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30740FB2"/>
    <w:multiLevelType w:val="hybridMultilevel"/>
    <w:tmpl w:val="E8409520"/>
    <w:lvl w:ilvl="0" w:tplc="13145C5C">
      <w:start w:val="7"/>
      <w:numFmt w:val="decimal"/>
      <w:lvlText w:val="%1."/>
      <w:lvlJc w:val="left"/>
      <w:pPr>
        <w:ind w:left="4382" w:hanging="555"/>
      </w:pPr>
      <w:rPr>
        <w:rFonts w:asciiTheme="minorHAnsi" w:hAnsiTheme="minorHAnsi" w:cstheme="minorHAnsi" w:hint="default"/>
        <w:b w:val="0"/>
        <w:sz w:val="28"/>
        <w:szCs w:val="28"/>
      </w:rPr>
    </w:lvl>
    <w:lvl w:ilvl="1" w:tplc="13145C5C">
      <w:start w:val="7"/>
      <w:numFmt w:val="decimal"/>
      <w:lvlText w:val="%2."/>
      <w:lvlJc w:val="left"/>
      <w:pPr>
        <w:ind w:left="1440" w:hanging="360"/>
      </w:pPr>
      <w:rPr>
        <w:rFonts w:asciiTheme="minorHAnsi" w:hAnsiTheme="minorHAnsi" w:cstheme="minorHAnsi" w:hint="default"/>
        <w:b w:val="0"/>
        <w:sz w:val="28"/>
        <w:szCs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D307EE"/>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3">
    <w:nsid w:val="389F5E45"/>
    <w:multiLevelType w:val="hybridMultilevel"/>
    <w:tmpl w:val="39B892B6"/>
    <w:lvl w:ilvl="0" w:tplc="1E0AED32">
      <w:start w:val="1"/>
      <w:numFmt w:val="decimal"/>
      <w:lvlText w:val="%1."/>
      <w:lvlJc w:val="left"/>
      <w:pPr>
        <w:ind w:left="1725" w:hanging="555"/>
      </w:pPr>
      <w:rPr>
        <w:rFonts w:cs="Times New Roman" w:hint="default"/>
        <w:b w:val="0"/>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43E456DD"/>
    <w:multiLevelType w:val="hybridMultilevel"/>
    <w:tmpl w:val="01B61F86"/>
    <w:lvl w:ilvl="0" w:tplc="D62C1288">
      <w:start w:val="1"/>
      <w:numFmt w:val="decimal"/>
      <w:lvlText w:val="%1."/>
      <w:lvlJc w:val="left"/>
      <w:pPr>
        <w:ind w:left="1725" w:hanging="555"/>
      </w:pPr>
      <w:rPr>
        <w:rFonts w:asciiTheme="minorHAnsi" w:hAnsiTheme="minorHAnsi" w:cstheme="minorHAnsi" w:hint="default"/>
        <w:b w:val="0"/>
        <w:sz w:val="36"/>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44577CED"/>
    <w:multiLevelType w:val="hybridMultilevel"/>
    <w:tmpl w:val="DF76675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nsid w:val="459D68AB"/>
    <w:multiLevelType w:val="hybridMultilevel"/>
    <w:tmpl w:val="6EEA6F90"/>
    <w:lvl w:ilvl="0" w:tplc="13145C5C">
      <w:start w:val="7"/>
      <w:numFmt w:val="decimal"/>
      <w:lvlText w:val="%1."/>
      <w:lvlJc w:val="left"/>
      <w:pPr>
        <w:ind w:left="4382" w:hanging="555"/>
      </w:pPr>
      <w:rPr>
        <w:rFonts w:asciiTheme="minorHAnsi" w:hAnsiTheme="minorHAnsi" w:cstheme="minorHAnsi" w:hint="default"/>
        <w:b w:val="0"/>
        <w:sz w:val="28"/>
        <w:szCs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DA59A0"/>
    <w:multiLevelType w:val="hybridMultilevel"/>
    <w:tmpl w:val="236EB7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05623D"/>
    <w:multiLevelType w:val="hybridMultilevel"/>
    <w:tmpl w:val="3210D9FC"/>
    <w:lvl w:ilvl="0" w:tplc="D62C1288">
      <w:start w:val="1"/>
      <w:numFmt w:val="decimal"/>
      <w:lvlText w:val="%1."/>
      <w:lvlJc w:val="left"/>
      <w:pPr>
        <w:ind w:left="1725" w:hanging="555"/>
      </w:pPr>
      <w:rPr>
        <w:rFonts w:asciiTheme="minorHAnsi" w:hAnsiTheme="minorHAnsi" w:cstheme="minorHAnsi" w:hint="default"/>
        <w:b w:val="0"/>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FE1DA6"/>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0">
    <w:nsid w:val="59956BF3"/>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1">
    <w:nsid w:val="5B1321F5"/>
    <w:multiLevelType w:val="hybridMultilevel"/>
    <w:tmpl w:val="E50EF67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2">
    <w:nsid w:val="617D3708"/>
    <w:multiLevelType w:val="hybridMultilevel"/>
    <w:tmpl w:val="E5D26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8E05E2"/>
    <w:multiLevelType w:val="hybridMultilevel"/>
    <w:tmpl w:val="BEE01D5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6C3C1647"/>
    <w:multiLevelType w:val="hybridMultilevel"/>
    <w:tmpl w:val="6406A06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6C6E108E"/>
    <w:multiLevelType w:val="multilevel"/>
    <w:tmpl w:val="1CBA4B04"/>
    <w:lvl w:ilvl="0">
      <w:start w:val="1"/>
      <w:numFmt w:val="decimal"/>
      <w:lvlText w:val="%1)"/>
      <w:lvlJc w:val="left"/>
      <w:pPr>
        <w:ind w:left="1800" w:hanging="360"/>
      </w:pPr>
    </w:lvl>
    <w:lvl w:ilvl="1">
      <w:start w:val="1"/>
      <w:numFmt w:val="lowerLetter"/>
      <w:lvlText w:val="%2)"/>
      <w:lvlJc w:val="left"/>
      <w:pPr>
        <w:ind w:left="2160" w:hanging="360"/>
      </w:pPr>
      <w:rPr>
        <w:sz w:val="32"/>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6">
    <w:nsid w:val="6D7E422D"/>
    <w:multiLevelType w:val="hybridMultilevel"/>
    <w:tmpl w:val="01B61F86"/>
    <w:lvl w:ilvl="0" w:tplc="D62C1288">
      <w:start w:val="1"/>
      <w:numFmt w:val="decimal"/>
      <w:lvlText w:val="%1."/>
      <w:lvlJc w:val="left"/>
      <w:pPr>
        <w:ind w:left="1725" w:hanging="555"/>
      </w:pPr>
      <w:rPr>
        <w:rFonts w:asciiTheme="minorHAnsi" w:hAnsiTheme="minorHAnsi" w:cstheme="minorHAnsi" w:hint="default"/>
        <w:b w:val="0"/>
        <w:sz w:val="36"/>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7">
    <w:nsid w:val="6FF438E2"/>
    <w:multiLevelType w:val="hybridMultilevel"/>
    <w:tmpl w:val="AF641B8C"/>
    <w:lvl w:ilvl="0" w:tplc="9E465448">
      <w:start w:val="1"/>
      <w:numFmt w:val="lowerRoman"/>
      <w:lvlText w:val="(%1)"/>
      <w:lvlJc w:val="left"/>
      <w:pPr>
        <w:ind w:left="1890" w:hanging="72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8">
    <w:nsid w:val="706A62B2"/>
    <w:multiLevelType w:val="hybridMultilevel"/>
    <w:tmpl w:val="0F569B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6F613B5"/>
    <w:multiLevelType w:val="hybridMultilevel"/>
    <w:tmpl w:val="6DAA8D4C"/>
    <w:lvl w:ilvl="0" w:tplc="812A96F4">
      <w:start w:val="1"/>
      <w:numFmt w:val="decimal"/>
      <w:lvlText w:val="%1."/>
      <w:lvlJc w:val="left"/>
      <w:pPr>
        <w:ind w:left="4382" w:hanging="555"/>
      </w:pPr>
      <w:rPr>
        <w:rFonts w:asciiTheme="minorHAnsi" w:hAnsiTheme="minorHAnsi" w:cstheme="minorHAnsi" w:hint="default"/>
        <w:b w:val="0"/>
        <w:sz w:val="28"/>
        <w:szCs w:val="28"/>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0">
    <w:nsid w:val="7E3E7172"/>
    <w:multiLevelType w:val="hybridMultilevel"/>
    <w:tmpl w:val="EACAD004"/>
    <w:lvl w:ilvl="0" w:tplc="B8EA61E4">
      <w:start w:val="9"/>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num w:numId="1">
    <w:abstractNumId w:val="19"/>
  </w:num>
  <w:num w:numId="2">
    <w:abstractNumId w:val="40"/>
  </w:num>
  <w:num w:numId="3">
    <w:abstractNumId w:val="14"/>
  </w:num>
  <w:num w:numId="4">
    <w:abstractNumId w:val="37"/>
  </w:num>
  <w:num w:numId="5">
    <w:abstractNumId w:val="1"/>
  </w:num>
  <w:num w:numId="6">
    <w:abstractNumId w:val="23"/>
  </w:num>
  <w:num w:numId="7">
    <w:abstractNumId w:val="17"/>
  </w:num>
  <w:num w:numId="8">
    <w:abstractNumId w:val="27"/>
  </w:num>
  <w:num w:numId="9">
    <w:abstractNumId w:val="34"/>
  </w:num>
  <w:num w:numId="10">
    <w:abstractNumId w:val="31"/>
  </w:num>
  <w:num w:numId="11">
    <w:abstractNumId w:val="38"/>
  </w:num>
  <w:num w:numId="12">
    <w:abstractNumId w:val="22"/>
  </w:num>
  <w:num w:numId="13">
    <w:abstractNumId w:val="0"/>
  </w:num>
  <w:num w:numId="14">
    <w:abstractNumId w:val="7"/>
  </w:num>
  <w:num w:numId="15">
    <w:abstractNumId w:val="33"/>
  </w:num>
  <w:num w:numId="16">
    <w:abstractNumId w:val="6"/>
  </w:num>
  <w:num w:numId="17">
    <w:abstractNumId w:val="3"/>
  </w:num>
  <w:num w:numId="18">
    <w:abstractNumId w:val="9"/>
  </w:num>
  <w:num w:numId="19">
    <w:abstractNumId w:val="24"/>
  </w:num>
  <w:num w:numId="20">
    <w:abstractNumId w:val="36"/>
  </w:num>
  <w:num w:numId="21">
    <w:abstractNumId w:val="39"/>
  </w:num>
  <w:num w:numId="22">
    <w:abstractNumId w:val="4"/>
  </w:num>
  <w:num w:numId="23">
    <w:abstractNumId w:val="28"/>
  </w:num>
  <w:num w:numId="24">
    <w:abstractNumId w:val="8"/>
  </w:num>
  <w:num w:numId="25">
    <w:abstractNumId w:val="5"/>
  </w:num>
  <w:num w:numId="26">
    <w:abstractNumId w:val="20"/>
  </w:num>
  <w:num w:numId="27">
    <w:abstractNumId w:val="15"/>
  </w:num>
  <w:num w:numId="28">
    <w:abstractNumId w:val="10"/>
  </w:num>
  <w:num w:numId="29">
    <w:abstractNumId w:val="18"/>
  </w:num>
  <w:num w:numId="30">
    <w:abstractNumId w:val="25"/>
  </w:num>
  <w:num w:numId="31">
    <w:abstractNumId w:val="29"/>
  </w:num>
  <w:num w:numId="32">
    <w:abstractNumId w:val="35"/>
  </w:num>
  <w:num w:numId="33">
    <w:abstractNumId w:val="16"/>
  </w:num>
  <w:num w:numId="34">
    <w:abstractNumId w:val="32"/>
  </w:num>
  <w:num w:numId="35">
    <w:abstractNumId w:val="2"/>
  </w:num>
  <w:num w:numId="36">
    <w:abstractNumId w:val="26"/>
  </w:num>
  <w:num w:numId="37">
    <w:abstractNumId w:val="12"/>
  </w:num>
  <w:num w:numId="38">
    <w:abstractNumId w:val="21"/>
  </w:num>
  <w:num w:numId="39">
    <w:abstractNumId w:val="13"/>
  </w:num>
  <w:num w:numId="40">
    <w:abstractNumId w:val="11"/>
  </w:num>
  <w:num w:numId="4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0B"/>
    <w:rsid w:val="00007A5E"/>
    <w:rsid w:val="00012921"/>
    <w:rsid w:val="000234B1"/>
    <w:rsid w:val="0002368B"/>
    <w:rsid w:val="000353EE"/>
    <w:rsid w:val="00043EC1"/>
    <w:rsid w:val="00075800"/>
    <w:rsid w:val="00075D3F"/>
    <w:rsid w:val="00077124"/>
    <w:rsid w:val="00082BF0"/>
    <w:rsid w:val="00085B2A"/>
    <w:rsid w:val="00086DF8"/>
    <w:rsid w:val="00096F90"/>
    <w:rsid w:val="000A0F85"/>
    <w:rsid w:val="000A78D3"/>
    <w:rsid w:val="000B4B10"/>
    <w:rsid w:val="000B54A4"/>
    <w:rsid w:val="000C0AED"/>
    <w:rsid w:val="000C3602"/>
    <w:rsid w:val="000C4CEA"/>
    <w:rsid w:val="000C5471"/>
    <w:rsid w:val="000C70F1"/>
    <w:rsid w:val="000C7DE9"/>
    <w:rsid w:val="000E6863"/>
    <w:rsid w:val="000F252A"/>
    <w:rsid w:val="00105329"/>
    <w:rsid w:val="001132C8"/>
    <w:rsid w:val="00117C19"/>
    <w:rsid w:val="00122C29"/>
    <w:rsid w:val="00122E11"/>
    <w:rsid w:val="00130812"/>
    <w:rsid w:val="00134384"/>
    <w:rsid w:val="00150FE1"/>
    <w:rsid w:val="00153097"/>
    <w:rsid w:val="0015721B"/>
    <w:rsid w:val="00162F94"/>
    <w:rsid w:val="00164128"/>
    <w:rsid w:val="00173238"/>
    <w:rsid w:val="00176DC9"/>
    <w:rsid w:val="001807DD"/>
    <w:rsid w:val="00181B99"/>
    <w:rsid w:val="00182357"/>
    <w:rsid w:val="001A2FF7"/>
    <w:rsid w:val="001A48C1"/>
    <w:rsid w:val="001C31F3"/>
    <w:rsid w:val="001C4248"/>
    <w:rsid w:val="001D0C47"/>
    <w:rsid w:val="001E314A"/>
    <w:rsid w:val="001E742A"/>
    <w:rsid w:val="001F30B3"/>
    <w:rsid w:val="001F3C58"/>
    <w:rsid w:val="00207A92"/>
    <w:rsid w:val="0021068D"/>
    <w:rsid w:val="00215DAC"/>
    <w:rsid w:val="00216EB1"/>
    <w:rsid w:val="00230161"/>
    <w:rsid w:val="00231CB9"/>
    <w:rsid w:val="00237F47"/>
    <w:rsid w:val="002419C9"/>
    <w:rsid w:val="00244B70"/>
    <w:rsid w:val="00246F75"/>
    <w:rsid w:val="00247FCA"/>
    <w:rsid w:val="002503EE"/>
    <w:rsid w:val="00255A6C"/>
    <w:rsid w:val="00272A5D"/>
    <w:rsid w:val="002749D4"/>
    <w:rsid w:val="00286B6E"/>
    <w:rsid w:val="00286DA0"/>
    <w:rsid w:val="002876A3"/>
    <w:rsid w:val="00287D76"/>
    <w:rsid w:val="00291C43"/>
    <w:rsid w:val="002A1136"/>
    <w:rsid w:val="002A4B22"/>
    <w:rsid w:val="002B01C5"/>
    <w:rsid w:val="002B123A"/>
    <w:rsid w:val="002B590B"/>
    <w:rsid w:val="002C0F54"/>
    <w:rsid w:val="002D13AA"/>
    <w:rsid w:val="002E40EE"/>
    <w:rsid w:val="002E420A"/>
    <w:rsid w:val="00306EB9"/>
    <w:rsid w:val="0031138E"/>
    <w:rsid w:val="00311D98"/>
    <w:rsid w:val="003206AB"/>
    <w:rsid w:val="00320E62"/>
    <w:rsid w:val="00321AB1"/>
    <w:rsid w:val="003226E6"/>
    <w:rsid w:val="0033488A"/>
    <w:rsid w:val="003414A4"/>
    <w:rsid w:val="00362112"/>
    <w:rsid w:val="00363D07"/>
    <w:rsid w:val="00374873"/>
    <w:rsid w:val="00380101"/>
    <w:rsid w:val="00383BA9"/>
    <w:rsid w:val="00384A6E"/>
    <w:rsid w:val="00384CD7"/>
    <w:rsid w:val="003A02A6"/>
    <w:rsid w:val="003A5A64"/>
    <w:rsid w:val="003A7164"/>
    <w:rsid w:val="003B05CD"/>
    <w:rsid w:val="003B25CC"/>
    <w:rsid w:val="003B4A83"/>
    <w:rsid w:val="003C3F31"/>
    <w:rsid w:val="003C5612"/>
    <w:rsid w:val="003D2B72"/>
    <w:rsid w:val="003D78CD"/>
    <w:rsid w:val="003E2E18"/>
    <w:rsid w:val="003F7A90"/>
    <w:rsid w:val="004030E3"/>
    <w:rsid w:val="0041042F"/>
    <w:rsid w:val="00417186"/>
    <w:rsid w:val="00431598"/>
    <w:rsid w:val="0043400A"/>
    <w:rsid w:val="00440411"/>
    <w:rsid w:val="0044141E"/>
    <w:rsid w:val="00446881"/>
    <w:rsid w:val="00464410"/>
    <w:rsid w:val="00467752"/>
    <w:rsid w:val="00467844"/>
    <w:rsid w:val="00470969"/>
    <w:rsid w:val="00475D65"/>
    <w:rsid w:val="0049007C"/>
    <w:rsid w:val="004A0EB2"/>
    <w:rsid w:val="004A2A2E"/>
    <w:rsid w:val="004B169E"/>
    <w:rsid w:val="004B2B8B"/>
    <w:rsid w:val="004B6061"/>
    <w:rsid w:val="004B6628"/>
    <w:rsid w:val="004C0A79"/>
    <w:rsid w:val="004D1DF5"/>
    <w:rsid w:val="004D299B"/>
    <w:rsid w:val="004D50E6"/>
    <w:rsid w:val="004E1FD6"/>
    <w:rsid w:val="004F350B"/>
    <w:rsid w:val="004F659A"/>
    <w:rsid w:val="00515B5E"/>
    <w:rsid w:val="00522D47"/>
    <w:rsid w:val="00523CA1"/>
    <w:rsid w:val="00530D7A"/>
    <w:rsid w:val="005363EC"/>
    <w:rsid w:val="005423C5"/>
    <w:rsid w:val="00550D73"/>
    <w:rsid w:val="00562CD0"/>
    <w:rsid w:val="00574AED"/>
    <w:rsid w:val="00583ACD"/>
    <w:rsid w:val="005940D9"/>
    <w:rsid w:val="005A28CC"/>
    <w:rsid w:val="005A5C48"/>
    <w:rsid w:val="005C6F31"/>
    <w:rsid w:val="005C7A6C"/>
    <w:rsid w:val="005D67C4"/>
    <w:rsid w:val="005E267B"/>
    <w:rsid w:val="005F34CB"/>
    <w:rsid w:val="005F57AA"/>
    <w:rsid w:val="00603ED1"/>
    <w:rsid w:val="0060617A"/>
    <w:rsid w:val="00607546"/>
    <w:rsid w:val="00620D0F"/>
    <w:rsid w:val="006355F7"/>
    <w:rsid w:val="00636E3A"/>
    <w:rsid w:val="006420C8"/>
    <w:rsid w:val="006508B6"/>
    <w:rsid w:val="00651610"/>
    <w:rsid w:val="00651749"/>
    <w:rsid w:val="0065528A"/>
    <w:rsid w:val="006718B3"/>
    <w:rsid w:val="00680566"/>
    <w:rsid w:val="00681F05"/>
    <w:rsid w:val="00685106"/>
    <w:rsid w:val="00694D6B"/>
    <w:rsid w:val="006954CA"/>
    <w:rsid w:val="006A5227"/>
    <w:rsid w:val="006C209E"/>
    <w:rsid w:val="006C6704"/>
    <w:rsid w:val="006D2D33"/>
    <w:rsid w:val="006D472F"/>
    <w:rsid w:val="006D5248"/>
    <w:rsid w:val="006E134B"/>
    <w:rsid w:val="006E2646"/>
    <w:rsid w:val="006E29C5"/>
    <w:rsid w:val="006F7404"/>
    <w:rsid w:val="00700693"/>
    <w:rsid w:val="00712378"/>
    <w:rsid w:val="00712543"/>
    <w:rsid w:val="00712D5D"/>
    <w:rsid w:val="007132CC"/>
    <w:rsid w:val="00720F3F"/>
    <w:rsid w:val="007309FE"/>
    <w:rsid w:val="00734D87"/>
    <w:rsid w:val="00752FBD"/>
    <w:rsid w:val="007652BC"/>
    <w:rsid w:val="00771824"/>
    <w:rsid w:val="007753F4"/>
    <w:rsid w:val="00776C97"/>
    <w:rsid w:val="00781726"/>
    <w:rsid w:val="007822D3"/>
    <w:rsid w:val="0078384F"/>
    <w:rsid w:val="00785C9F"/>
    <w:rsid w:val="00786E0F"/>
    <w:rsid w:val="00787FFE"/>
    <w:rsid w:val="00795A9E"/>
    <w:rsid w:val="0079623D"/>
    <w:rsid w:val="007A1B78"/>
    <w:rsid w:val="007A7882"/>
    <w:rsid w:val="007B57D8"/>
    <w:rsid w:val="007B72FE"/>
    <w:rsid w:val="007C6C0F"/>
    <w:rsid w:val="007E4389"/>
    <w:rsid w:val="007F67A5"/>
    <w:rsid w:val="00800602"/>
    <w:rsid w:val="00805CE4"/>
    <w:rsid w:val="008260A6"/>
    <w:rsid w:val="0082687F"/>
    <w:rsid w:val="008269E9"/>
    <w:rsid w:val="00827B85"/>
    <w:rsid w:val="00830AA5"/>
    <w:rsid w:val="0083231D"/>
    <w:rsid w:val="00832B35"/>
    <w:rsid w:val="00846B28"/>
    <w:rsid w:val="00856F0B"/>
    <w:rsid w:val="0087126B"/>
    <w:rsid w:val="00871D5A"/>
    <w:rsid w:val="00876FE6"/>
    <w:rsid w:val="008841DC"/>
    <w:rsid w:val="008855E5"/>
    <w:rsid w:val="00891A46"/>
    <w:rsid w:val="00895057"/>
    <w:rsid w:val="008A37D5"/>
    <w:rsid w:val="008A55B7"/>
    <w:rsid w:val="008B17D1"/>
    <w:rsid w:val="008B5145"/>
    <w:rsid w:val="008D5EA4"/>
    <w:rsid w:val="008D5F51"/>
    <w:rsid w:val="008F0C7A"/>
    <w:rsid w:val="008F3531"/>
    <w:rsid w:val="008F4A4A"/>
    <w:rsid w:val="00901ED7"/>
    <w:rsid w:val="009046C9"/>
    <w:rsid w:val="00910318"/>
    <w:rsid w:val="009221AF"/>
    <w:rsid w:val="009348B8"/>
    <w:rsid w:val="00944EC6"/>
    <w:rsid w:val="009545DC"/>
    <w:rsid w:val="00964047"/>
    <w:rsid w:val="009809EC"/>
    <w:rsid w:val="00984F88"/>
    <w:rsid w:val="00985FF4"/>
    <w:rsid w:val="009868C6"/>
    <w:rsid w:val="00996FC8"/>
    <w:rsid w:val="009A2800"/>
    <w:rsid w:val="009B194A"/>
    <w:rsid w:val="009B6735"/>
    <w:rsid w:val="009C07A0"/>
    <w:rsid w:val="009E30DC"/>
    <w:rsid w:val="009E7D4C"/>
    <w:rsid w:val="00A15171"/>
    <w:rsid w:val="00A20F2F"/>
    <w:rsid w:val="00A21E51"/>
    <w:rsid w:val="00A2350D"/>
    <w:rsid w:val="00A30A1F"/>
    <w:rsid w:val="00A318C9"/>
    <w:rsid w:val="00A31F05"/>
    <w:rsid w:val="00A32AC0"/>
    <w:rsid w:val="00A46163"/>
    <w:rsid w:val="00A540D8"/>
    <w:rsid w:val="00A57619"/>
    <w:rsid w:val="00A7102F"/>
    <w:rsid w:val="00A71D21"/>
    <w:rsid w:val="00A7286E"/>
    <w:rsid w:val="00AA60C5"/>
    <w:rsid w:val="00AC2CB4"/>
    <w:rsid w:val="00AE511F"/>
    <w:rsid w:val="00AE72E5"/>
    <w:rsid w:val="00AF5817"/>
    <w:rsid w:val="00AF5B9F"/>
    <w:rsid w:val="00B01AE5"/>
    <w:rsid w:val="00B118BD"/>
    <w:rsid w:val="00B24359"/>
    <w:rsid w:val="00B25341"/>
    <w:rsid w:val="00B26290"/>
    <w:rsid w:val="00B3186D"/>
    <w:rsid w:val="00B46B34"/>
    <w:rsid w:val="00B522EA"/>
    <w:rsid w:val="00B60179"/>
    <w:rsid w:val="00B66B21"/>
    <w:rsid w:val="00B83D94"/>
    <w:rsid w:val="00B90CF7"/>
    <w:rsid w:val="00B91259"/>
    <w:rsid w:val="00B92029"/>
    <w:rsid w:val="00B93F2B"/>
    <w:rsid w:val="00BA3896"/>
    <w:rsid w:val="00BA4E8F"/>
    <w:rsid w:val="00BB08CF"/>
    <w:rsid w:val="00BC1BE6"/>
    <w:rsid w:val="00BC4067"/>
    <w:rsid w:val="00BC7B9F"/>
    <w:rsid w:val="00BD7031"/>
    <w:rsid w:val="00BE65D8"/>
    <w:rsid w:val="00BE679F"/>
    <w:rsid w:val="00BE7EB4"/>
    <w:rsid w:val="00C10C99"/>
    <w:rsid w:val="00C20090"/>
    <w:rsid w:val="00C24F13"/>
    <w:rsid w:val="00C2688A"/>
    <w:rsid w:val="00C2734F"/>
    <w:rsid w:val="00C336BD"/>
    <w:rsid w:val="00C43F7D"/>
    <w:rsid w:val="00C44601"/>
    <w:rsid w:val="00C45222"/>
    <w:rsid w:val="00C734B9"/>
    <w:rsid w:val="00C87B28"/>
    <w:rsid w:val="00C87C85"/>
    <w:rsid w:val="00CA5560"/>
    <w:rsid w:val="00CB5652"/>
    <w:rsid w:val="00CB7FF4"/>
    <w:rsid w:val="00CC0E20"/>
    <w:rsid w:val="00CC4953"/>
    <w:rsid w:val="00CC6A35"/>
    <w:rsid w:val="00CC794E"/>
    <w:rsid w:val="00CE367A"/>
    <w:rsid w:val="00CE42E0"/>
    <w:rsid w:val="00CE5F4E"/>
    <w:rsid w:val="00CF1246"/>
    <w:rsid w:val="00CF248E"/>
    <w:rsid w:val="00CF3218"/>
    <w:rsid w:val="00CF48C6"/>
    <w:rsid w:val="00D02DD3"/>
    <w:rsid w:val="00D1145B"/>
    <w:rsid w:val="00D12DA3"/>
    <w:rsid w:val="00D138B8"/>
    <w:rsid w:val="00D2400B"/>
    <w:rsid w:val="00D24DFC"/>
    <w:rsid w:val="00D32CC7"/>
    <w:rsid w:val="00D64643"/>
    <w:rsid w:val="00D668F9"/>
    <w:rsid w:val="00D67CCF"/>
    <w:rsid w:val="00D71AB2"/>
    <w:rsid w:val="00D72AF4"/>
    <w:rsid w:val="00D745EA"/>
    <w:rsid w:val="00D77C8F"/>
    <w:rsid w:val="00D87FE9"/>
    <w:rsid w:val="00DB3A97"/>
    <w:rsid w:val="00DB3DFE"/>
    <w:rsid w:val="00DB4C85"/>
    <w:rsid w:val="00DB61A7"/>
    <w:rsid w:val="00DD21ED"/>
    <w:rsid w:val="00DD22FF"/>
    <w:rsid w:val="00DD5289"/>
    <w:rsid w:val="00DE3EE1"/>
    <w:rsid w:val="00DE52BE"/>
    <w:rsid w:val="00DF52E7"/>
    <w:rsid w:val="00E01B69"/>
    <w:rsid w:val="00E07C4E"/>
    <w:rsid w:val="00E171F7"/>
    <w:rsid w:val="00E200FA"/>
    <w:rsid w:val="00E3053E"/>
    <w:rsid w:val="00E33D10"/>
    <w:rsid w:val="00E35D8B"/>
    <w:rsid w:val="00E3770C"/>
    <w:rsid w:val="00E408A8"/>
    <w:rsid w:val="00E4585C"/>
    <w:rsid w:val="00E53F2A"/>
    <w:rsid w:val="00E54E2F"/>
    <w:rsid w:val="00E56D0E"/>
    <w:rsid w:val="00E66BCA"/>
    <w:rsid w:val="00E67D13"/>
    <w:rsid w:val="00E76067"/>
    <w:rsid w:val="00E821E2"/>
    <w:rsid w:val="00E83FC4"/>
    <w:rsid w:val="00E93065"/>
    <w:rsid w:val="00EA1363"/>
    <w:rsid w:val="00EC54E5"/>
    <w:rsid w:val="00EC5965"/>
    <w:rsid w:val="00EC6D27"/>
    <w:rsid w:val="00ED17B3"/>
    <w:rsid w:val="00ED467E"/>
    <w:rsid w:val="00ED4ED0"/>
    <w:rsid w:val="00EE6DB0"/>
    <w:rsid w:val="00F03EAA"/>
    <w:rsid w:val="00F07911"/>
    <w:rsid w:val="00F104FF"/>
    <w:rsid w:val="00F12B2F"/>
    <w:rsid w:val="00F14E00"/>
    <w:rsid w:val="00F20E81"/>
    <w:rsid w:val="00F2616A"/>
    <w:rsid w:val="00F30B78"/>
    <w:rsid w:val="00F42C98"/>
    <w:rsid w:val="00F44692"/>
    <w:rsid w:val="00F4624F"/>
    <w:rsid w:val="00F512EF"/>
    <w:rsid w:val="00F526BB"/>
    <w:rsid w:val="00F56420"/>
    <w:rsid w:val="00F5788A"/>
    <w:rsid w:val="00F65CCD"/>
    <w:rsid w:val="00F671AA"/>
    <w:rsid w:val="00F67A25"/>
    <w:rsid w:val="00F717AB"/>
    <w:rsid w:val="00F71C02"/>
    <w:rsid w:val="00FA2CB9"/>
    <w:rsid w:val="00FB091A"/>
    <w:rsid w:val="00FB73ED"/>
    <w:rsid w:val="00FC5AAD"/>
    <w:rsid w:val="00FD0325"/>
    <w:rsid w:val="00FE78F8"/>
    <w:rsid w:val="00FF6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EB4"/>
    <w:pPr>
      <w:spacing w:after="140"/>
    </w:pPr>
    <w:rPr>
      <w:szCs w:val="20"/>
    </w:rPr>
  </w:style>
  <w:style w:type="paragraph" w:styleId="Heading1">
    <w:name w:val="heading 1"/>
    <w:basedOn w:val="Normal"/>
    <w:next w:val="Normal"/>
    <w:link w:val="Heading1Char"/>
    <w:uiPriority w:val="9"/>
    <w:qFormat/>
    <w:rsid w:val="003226E6"/>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F104FF"/>
    <w:pPr>
      <w:spacing w:before="200" w:after="0"/>
      <w:outlineLvl w:val="1"/>
    </w:pPr>
    <w:rPr>
      <w:b/>
      <w:sz w:val="32"/>
      <w:szCs w:val="33"/>
    </w:rPr>
  </w:style>
  <w:style w:type="paragraph" w:styleId="Heading3">
    <w:name w:val="heading 3"/>
    <w:basedOn w:val="Normal"/>
    <w:next w:val="Normal"/>
    <w:link w:val="Heading3Char"/>
    <w:uiPriority w:val="3"/>
    <w:qFormat/>
    <w:rsid w:val="004D299B"/>
    <w:pPr>
      <w:spacing w:before="60" w:after="0"/>
      <w:outlineLvl w:val="2"/>
    </w:pPr>
    <w:rPr>
      <w:sz w:val="32"/>
      <w:szCs w:val="32"/>
    </w:rPr>
  </w:style>
  <w:style w:type="paragraph" w:styleId="Heading4">
    <w:name w:val="heading 4"/>
    <w:basedOn w:val="Normal"/>
    <w:next w:val="Normal"/>
    <w:link w:val="Heading4Char"/>
    <w:uiPriority w:val="4"/>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6E6"/>
    <w:rPr>
      <w:color w:val="000000" w:themeColor="text2"/>
      <w:sz w:val="48"/>
      <w:szCs w:val="40"/>
    </w:rPr>
  </w:style>
  <w:style w:type="character" w:customStyle="1" w:styleId="Heading2Char">
    <w:name w:val="Heading 2 Char"/>
    <w:basedOn w:val="DefaultParagraphFont"/>
    <w:link w:val="Heading2"/>
    <w:uiPriority w:val="2"/>
    <w:rsid w:val="00F104FF"/>
    <w:rPr>
      <w:b/>
      <w:sz w:val="32"/>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qFormat/>
    <w:rsid w:val="001D0C47"/>
    <w:pPr>
      <w:tabs>
        <w:tab w:val="right" w:leader="dot" w:pos="9639"/>
      </w:tabs>
      <w:spacing w:before="120" w:after="120" w:line="480" w:lineRule="auto"/>
    </w:pPr>
  </w:style>
  <w:style w:type="paragraph" w:styleId="TOC2">
    <w:name w:val="toc 2"/>
    <w:basedOn w:val="Normal"/>
    <w:next w:val="Normal"/>
    <w:autoRedefine/>
    <w:uiPriority w:val="39"/>
    <w:unhideWhenUsed/>
    <w:qFormat/>
    <w:rsid w:val="00F67A25"/>
    <w:pPr>
      <w:spacing w:after="100"/>
      <w:ind w:left="200"/>
    </w:pPr>
  </w:style>
  <w:style w:type="paragraph" w:styleId="TOC3">
    <w:name w:val="toc 3"/>
    <w:basedOn w:val="Normal"/>
    <w:next w:val="Normal"/>
    <w:autoRedefine/>
    <w:uiPriority w:val="39"/>
    <w:unhideWhenUsed/>
    <w:qFormat/>
    <w:rsid w:val="00F67A25"/>
    <w:pPr>
      <w:spacing w:after="100"/>
      <w:ind w:left="400"/>
    </w:p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paragraph" w:customStyle="1" w:styleId="para">
    <w:name w:val="para"/>
    <w:uiPriority w:val="99"/>
    <w:rsid w:val="00D2400B"/>
    <w:pPr>
      <w:keepLines/>
      <w:tabs>
        <w:tab w:val="left" w:pos="0"/>
      </w:tabs>
      <w:autoSpaceDE w:val="0"/>
      <w:autoSpaceDN w:val="0"/>
      <w:spacing w:before="80" w:after="60" w:line="240" w:lineRule="exact"/>
      <w:jc w:val="both"/>
    </w:pPr>
    <w:rPr>
      <w:rFonts w:ascii="Arial" w:eastAsiaTheme="minorEastAsia" w:hAnsi="Arial" w:cs="Arial"/>
    </w:rPr>
  </w:style>
  <w:style w:type="paragraph" w:customStyle="1" w:styleId="headL5">
    <w:name w:val="head:L5"/>
    <w:uiPriority w:val="99"/>
    <w:rsid w:val="00D2400B"/>
    <w:pPr>
      <w:keepNext/>
      <w:keepLines/>
      <w:widowControl w:val="0"/>
      <w:autoSpaceDE w:val="0"/>
      <w:autoSpaceDN w:val="0"/>
      <w:spacing w:before="120" w:after="60" w:line="240" w:lineRule="auto"/>
      <w:outlineLvl w:val="6"/>
    </w:pPr>
    <w:rPr>
      <w:rFonts w:ascii="Arial" w:eastAsiaTheme="minorEastAsia" w:hAnsi="Arial" w:cs="Arial"/>
      <w:b/>
      <w:bCs/>
    </w:rPr>
  </w:style>
  <w:style w:type="character" w:customStyle="1" w:styleId="Chartextitalics11pt">
    <w:name w:val="Char:text italics 11 pt"/>
    <w:basedOn w:val="DefaultParagraphFont"/>
    <w:uiPriority w:val="99"/>
    <w:rsid w:val="00D2400B"/>
    <w:rPr>
      <w:rFonts w:ascii="Arial" w:hAnsi="Arial" w:cs="Arial"/>
      <w:i/>
      <w:iCs/>
      <w:sz w:val="22"/>
      <w:szCs w:val="22"/>
      <w:lang w:val="en-US"/>
    </w:rPr>
  </w:style>
  <w:style w:type="paragraph" w:customStyle="1" w:styleId="acctsacctname">
    <w:name w:val="accts:acctname"/>
    <w:uiPriority w:val="99"/>
    <w:rsid w:val="00D2400B"/>
    <w:pPr>
      <w:autoSpaceDE w:val="0"/>
      <w:autoSpaceDN w:val="0"/>
      <w:spacing w:after="0" w:line="240" w:lineRule="auto"/>
      <w:jc w:val="center"/>
    </w:pPr>
    <w:rPr>
      <w:rFonts w:ascii="Arial" w:eastAsiaTheme="minorEastAsia" w:hAnsi="Arial" w:cs="Arial"/>
      <w:b/>
      <w:bCs/>
      <w:caps/>
      <w:color w:val="808080"/>
      <w:sz w:val="20"/>
      <w:szCs w:val="20"/>
      <w:lang w:val="en-US"/>
    </w:rPr>
  </w:style>
  <w:style w:type="paragraph" w:customStyle="1" w:styleId="Tabletext11pt">
    <w:name w:val="Table:text 11 pt"/>
    <w:uiPriority w:val="99"/>
    <w:rsid w:val="00D2400B"/>
    <w:pPr>
      <w:keepLines/>
      <w:autoSpaceDE w:val="0"/>
      <w:autoSpaceDN w:val="0"/>
      <w:spacing w:before="40" w:after="40" w:line="240" w:lineRule="auto"/>
      <w:jc w:val="both"/>
    </w:pPr>
    <w:rPr>
      <w:rFonts w:ascii="Arial" w:eastAsiaTheme="minorEastAsia" w:hAnsi="Arial" w:cs="Arial"/>
      <w:lang w:val="en-US"/>
    </w:rPr>
  </w:style>
  <w:style w:type="paragraph" w:styleId="Title">
    <w:name w:val="Title"/>
    <w:basedOn w:val="Normal"/>
    <w:next w:val="Normal"/>
    <w:link w:val="TitleChar"/>
    <w:uiPriority w:val="10"/>
    <w:qFormat/>
    <w:rsid w:val="00D2400B"/>
    <w:pPr>
      <w:pBdr>
        <w:bottom w:val="single" w:sz="8" w:space="4" w:color="000000" w:themeColor="accent1"/>
      </w:pBdr>
      <w:spacing w:after="300" w:line="240" w:lineRule="auto"/>
      <w:contextualSpacing/>
    </w:pPr>
    <w:rPr>
      <w:rFonts w:asciiTheme="majorHAnsi" w:eastAsiaTheme="majorEastAsia" w:hAnsiTheme="majorHAnsi" w:cstheme="majorBidi"/>
      <w:spacing w:val="5"/>
      <w:kern w:val="28"/>
      <w:sz w:val="52"/>
      <w:szCs w:val="52"/>
      <w:lang w:val="en-US"/>
    </w:rPr>
  </w:style>
  <w:style w:type="character" w:customStyle="1" w:styleId="TitleChar">
    <w:name w:val="Title Char"/>
    <w:basedOn w:val="DefaultParagraphFont"/>
    <w:link w:val="Title"/>
    <w:uiPriority w:val="10"/>
    <w:rsid w:val="00D2400B"/>
    <w:rPr>
      <w:rFonts w:asciiTheme="majorHAnsi" w:eastAsiaTheme="majorEastAsia" w:hAnsiTheme="majorHAnsi" w:cstheme="majorBidi"/>
      <w:spacing w:val="5"/>
      <w:kern w:val="28"/>
      <w:sz w:val="52"/>
      <w:szCs w:val="52"/>
      <w:lang w:val="en-US"/>
    </w:rPr>
  </w:style>
  <w:style w:type="table" w:customStyle="1" w:styleId="TableGrid1">
    <w:name w:val="Table Grid1"/>
    <w:basedOn w:val="TableNormal"/>
    <w:next w:val="TableGrid"/>
    <w:uiPriority w:val="59"/>
    <w:rsid w:val="00D2400B"/>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400B"/>
    <w:rPr>
      <w:b/>
      <w:bCs/>
    </w:rPr>
  </w:style>
  <w:style w:type="character" w:styleId="Emphasis">
    <w:name w:val="Emphasis"/>
    <w:basedOn w:val="DefaultParagraphFont"/>
    <w:uiPriority w:val="20"/>
    <w:qFormat/>
    <w:rsid w:val="00BE7EB4"/>
    <w:rPr>
      <w:i/>
      <w:iCs/>
    </w:rPr>
  </w:style>
  <w:style w:type="paragraph" w:styleId="Quote">
    <w:name w:val="Quote"/>
    <w:basedOn w:val="Normal"/>
    <w:next w:val="Normal"/>
    <w:link w:val="QuoteChar"/>
    <w:uiPriority w:val="29"/>
    <w:qFormat/>
    <w:rsid w:val="00ED4ED0"/>
    <w:rPr>
      <w:i/>
      <w:iCs/>
      <w:color w:val="000000" w:themeColor="text1"/>
    </w:rPr>
  </w:style>
  <w:style w:type="character" w:customStyle="1" w:styleId="QuoteChar">
    <w:name w:val="Quote Char"/>
    <w:basedOn w:val="DefaultParagraphFont"/>
    <w:link w:val="Quote"/>
    <w:uiPriority w:val="29"/>
    <w:rsid w:val="00ED4ED0"/>
    <w:rPr>
      <w:i/>
      <w:iCs/>
      <w:color w:val="000000" w:themeColor="text1"/>
      <w:szCs w:val="20"/>
    </w:rPr>
  </w:style>
  <w:style w:type="character" w:styleId="CommentReference">
    <w:name w:val="annotation reference"/>
    <w:basedOn w:val="DefaultParagraphFont"/>
    <w:uiPriority w:val="99"/>
    <w:semiHidden/>
    <w:unhideWhenUsed/>
    <w:rsid w:val="00255A6C"/>
    <w:rPr>
      <w:sz w:val="16"/>
      <w:szCs w:val="16"/>
    </w:rPr>
  </w:style>
  <w:style w:type="paragraph" w:styleId="CommentText">
    <w:name w:val="annotation text"/>
    <w:basedOn w:val="Normal"/>
    <w:link w:val="CommentTextChar"/>
    <w:uiPriority w:val="99"/>
    <w:semiHidden/>
    <w:unhideWhenUsed/>
    <w:rsid w:val="00255A6C"/>
    <w:pPr>
      <w:spacing w:line="240" w:lineRule="auto"/>
    </w:pPr>
    <w:rPr>
      <w:sz w:val="20"/>
    </w:rPr>
  </w:style>
  <w:style w:type="character" w:customStyle="1" w:styleId="CommentTextChar">
    <w:name w:val="Comment Text Char"/>
    <w:basedOn w:val="DefaultParagraphFont"/>
    <w:link w:val="CommentText"/>
    <w:uiPriority w:val="99"/>
    <w:semiHidden/>
    <w:rsid w:val="00255A6C"/>
    <w:rPr>
      <w:sz w:val="20"/>
      <w:szCs w:val="20"/>
    </w:rPr>
  </w:style>
  <w:style w:type="paragraph" w:styleId="CommentSubject">
    <w:name w:val="annotation subject"/>
    <w:basedOn w:val="CommentText"/>
    <w:next w:val="CommentText"/>
    <w:link w:val="CommentSubjectChar"/>
    <w:uiPriority w:val="99"/>
    <w:semiHidden/>
    <w:unhideWhenUsed/>
    <w:rsid w:val="00255A6C"/>
    <w:rPr>
      <w:b/>
      <w:bCs/>
    </w:rPr>
  </w:style>
  <w:style w:type="character" w:customStyle="1" w:styleId="CommentSubjectChar">
    <w:name w:val="Comment Subject Char"/>
    <w:basedOn w:val="CommentTextChar"/>
    <w:link w:val="CommentSubject"/>
    <w:uiPriority w:val="99"/>
    <w:semiHidden/>
    <w:rsid w:val="00255A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EB4"/>
    <w:pPr>
      <w:spacing w:after="140"/>
    </w:pPr>
    <w:rPr>
      <w:szCs w:val="20"/>
    </w:rPr>
  </w:style>
  <w:style w:type="paragraph" w:styleId="Heading1">
    <w:name w:val="heading 1"/>
    <w:basedOn w:val="Normal"/>
    <w:next w:val="Normal"/>
    <w:link w:val="Heading1Char"/>
    <w:uiPriority w:val="9"/>
    <w:qFormat/>
    <w:rsid w:val="003226E6"/>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F104FF"/>
    <w:pPr>
      <w:spacing w:before="200" w:after="0"/>
      <w:outlineLvl w:val="1"/>
    </w:pPr>
    <w:rPr>
      <w:b/>
      <w:sz w:val="32"/>
      <w:szCs w:val="33"/>
    </w:rPr>
  </w:style>
  <w:style w:type="paragraph" w:styleId="Heading3">
    <w:name w:val="heading 3"/>
    <w:basedOn w:val="Normal"/>
    <w:next w:val="Normal"/>
    <w:link w:val="Heading3Char"/>
    <w:uiPriority w:val="3"/>
    <w:qFormat/>
    <w:rsid w:val="004D299B"/>
    <w:pPr>
      <w:spacing w:before="60" w:after="0"/>
      <w:outlineLvl w:val="2"/>
    </w:pPr>
    <w:rPr>
      <w:sz w:val="32"/>
      <w:szCs w:val="32"/>
    </w:rPr>
  </w:style>
  <w:style w:type="paragraph" w:styleId="Heading4">
    <w:name w:val="heading 4"/>
    <w:basedOn w:val="Normal"/>
    <w:next w:val="Normal"/>
    <w:link w:val="Heading4Char"/>
    <w:uiPriority w:val="4"/>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6E6"/>
    <w:rPr>
      <w:color w:val="000000" w:themeColor="text2"/>
      <w:sz w:val="48"/>
      <w:szCs w:val="40"/>
    </w:rPr>
  </w:style>
  <w:style w:type="character" w:customStyle="1" w:styleId="Heading2Char">
    <w:name w:val="Heading 2 Char"/>
    <w:basedOn w:val="DefaultParagraphFont"/>
    <w:link w:val="Heading2"/>
    <w:uiPriority w:val="2"/>
    <w:rsid w:val="00F104FF"/>
    <w:rPr>
      <w:b/>
      <w:sz w:val="32"/>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qFormat/>
    <w:rsid w:val="001D0C47"/>
    <w:pPr>
      <w:tabs>
        <w:tab w:val="right" w:leader="dot" w:pos="9639"/>
      </w:tabs>
      <w:spacing w:before="120" w:after="120" w:line="480" w:lineRule="auto"/>
    </w:pPr>
  </w:style>
  <w:style w:type="paragraph" w:styleId="TOC2">
    <w:name w:val="toc 2"/>
    <w:basedOn w:val="Normal"/>
    <w:next w:val="Normal"/>
    <w:autoRedefine/>
    <w:uiPriority w:val="39"/>
    <w:unhideWhenUsed/>
    <w:qFormat/>
    <w:rsid w:val="00F67A25"/>
    <w:pPr>
      <w:spacing w:after="100"/>
      <w:ind w:left="200"/>
    </w:pPr>
  </w:style>
  <w:style w:type="paragraph" w:styleId="TOC3">
    <w:name w:val="toc 3"/>
    <w:basedOn w:val="Normal"/>
    <w:next w:val="Normal"/>
    <w:autoRedefine/>
    <w:uiPriority w:val="39"/>
    <w:unhideWhenUsed/>
    <w:qFormat/>
    <w:rsid w:val="00F67A25"/>
    <w:pPr>
      <w:spacing w:after="100"/>
      <w:ind w:left="400"/>
    </w:p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paragraph" w:customStyle="1" w:styleId="para">
    <w:name w:val="para"/>
    <w:uiPriority w:val="99"/>
    <w:rsid w:val="00D2400B"/>
    <w:pPr>
      <w:keepLines/>
      <w:tabs>
        <w:tab w:val="left" w:pos="0"/>
      </w:tabs>
      <w:autoSpaceDE w:val="0"/>
      <w:autoSpaceDN w:val="0"/>
      <w:spacing w:before="80" w:after="60" w:line="240" w:lineRule="exact"/>
      <w:jc w:val="both"/>
    </w:pPr>
    <w:rPr>
      <w:rFonts w:ascii="Arial" w:eastAsiaTheme="minorEastAsia" w:hAnsi="Arial" w:cs="Arial"/>
    </w:rPr>
  </w:style>
  <w:style w:type="paragraph" w:customStyle="1" w:styleId="headL5">
    <w:name w:val="head:L5"/>
    <w:uiPriority w:val="99"/>
    <w:rsid w:val="00D2400B"/>
    <w:pPr>
      <w:keepNext/>
      <w:keepLines/>
      <w:widowControl w:val="0"/>
      <w:autoSpaceDE w:val="0"/>
      <w:autoSpaceDN w:val="0"/>
      <w:spacing w:before="120" w:after="60" w:line="240" w:lineRule="auto"/>
      <w:outlineLvl w:val="6"/>
    </w:pPr>
    <w:rPr>
      <w:rFonts w:ascii="Arial" w:eastAsiaTheme="minorEastAsia" w:hAnsi="Arial" w:cs="Arial"/>
      <w:b/>
      <w:bCs/>
    </w:rPr>
  </w:style>
  <w:style w:type="character" w:customStyle="1" w:styleId="Chartextitalics11pt">
    <w:name w:val="Char:text italics 11 pt"/>
    <w:basedOn w:val="DefaultParagraphFont"/>
    <w:uiPriority w:val="99"/>
    <w:rsid w:val="00D2400B"/>
    <w:rPr>
      <w:rFonts w:ascii="Arial" w:hAnsi="Arial" w:cs="Arial"/>
      <w:i/>
      <w:iCs/>
      <w:sz w:val="22"/>
      <w:szCs w:val="22"/>
      <w:lang w:val="en-US"/>
    </w:rPr>
  </w:style>
  <w:style w:type="paragraph" w:customStyle="1" w:styleId="acctsacctname">
    <w:name w:val="accts:acctname"/>
    <w:uiPriority w:val="99"/>
    <w:rsid w:val="00D2400B"/>
    <w:pPr>
      <w:autoSpaceDE w:val="0"/>
      <w:autoSpaceDN w:val="0"/>
      <w:spacing w:after="0" w:line="240" w:lineRule="auto"/>
      <w:jc w:val="center"/>
    </w:pPr>
    <w:rPr>
      <w:rFonts w:ascii="Arial" w:eastAsiaTheme="minorEastAsia" w:hAnsi="Arial" w:cs="Arial"/>
      <w:b/>
      <w:bCs/>
      <w:caps/>
      <w:color w:val="808080"/>
      <w:sz w:val="20"/>
      <w:szCs w:val="20"/>
      <w:lang w:val="en-US"/>
    </w:rPr>
  </w:style>
  <w:style w:type="paragraph" w:customStyle="1" w:styleId="Tabletext11pt">
    <w:name w:val="Table:text 11 pt"/>
    <w:uiPriority w:val="99"/>
    <w:rsid w:val="00D2400B"/>
    <w:pPr>
      <w:keepLines/>
      <w:autoSpaceDE w:val="0"/>
      <w:autoSpaceDN w:val="0"/>
      <w:spacing w:before="40" w:after="40" w:line="240" w:lineRule="auto"/>
      <w:jc w:val="both"/>
    </w:pPr>
    <w:rPr>
      <w:rFonts w:ascii="Arial" w:eastAsiaTheme="minorEastAsia" w:hAnsi="Arial" w:cs="Arial"/>
      <w:lang w:val="en-US"/>
    </w:rPr>
  </w:style>
  <w:style w:type="paragraph" w:styleId="Title">
    <w:name w:val="Title"/>
    <w:basedOn w:val="Normal"/>
    <w:next w:val="Normal"/>
    <w:link w:val="TitleChar"/>
    <w:uiPriority w:val="10"/>
    <w:qFormat/>
    <w:rsid w:val="00D2400B"/>
    <w:pPr>
      <w:pBdr>
        <w:bottom w:val="single" w:sz="8" w:space="4" w:color="000000" w:themeColor="accent1"/>
      </w:pBdr>
      <w:spacing w:after="300" w:line="240" w:lineRule="auto"/>
      <w:contextualSpacing/>
    </w:pPr>
    <w:rPr>
      <w:rFonts w:asciiTheme="majorHAnsi" w:eastAsiaTheme="majorEastAsia" w:hAnsiTheme="majorHAnsi" w:cstheme="majorBidi"/>
      <w:spacing w:val="5"/>
      <w:kern w:val="28"/>
      <w:sz w:val="52"/>
      <w:szCs w:val="52"/>
      <w:lang w:val="en-US"/>
    </w:rPr>
  </w:style>
  <w:style w:type="character" w:customStyle="1" w:styleId="TitleChar">
    <w:name w:val="Title Char"/>
    <w:basedOn w:val="DefaultParagraphFont"/>
    <w:link w:val="Title"/>
    <w:uiPriority w:val="10"/>
    <w:rsid w:val="00D2400B"/>
    <w:rPr>
      <w:rFonts w:asciiTheme="majorHAnsi" w:eastAsiaTheme="majorEastAsia" w:hAnsiTheme="majorHAnsi" w:cstheme="majorBidi"/>
      <w:spacing w:val="5"/>
      <w:kern w:val="28"/>
      <w:sz w:val="52"/>
      <w:szCs w:val="52"/>
      <w:lang w:val="en-US"/>
    </w:rPr>
  </w:style>
  <w:style w:type="table" w:customStyle="1" w:styleId="TableGrid1">
    <w:name w:val="Table Grid1"/>
    <w:basedOn w:val="TableNormal"/>
    <w:next w:val="TableGrid"/>
    <w:uiPriority w:val="59"/>
    <w:rsid w:val="00D2400B"/>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400B"/>
    <w:rPr>
      <w:b/>
      <w:bCs/>
    </w:rPr>
  </w:style>
  <w:style w:type="character" w:styleId="Emphasis">
    <w:name w:val="Emphasis"/>
    <w:basedOn w:val="DefaultParagraphFont"/>
    <w:uiPriority w:val="20"/>
    <w:qFormat/>
    <w:rsid w:val="00BE7EB4"/>
    <w:rPr>
      <w:i/>
      <w:iCs/>
    </w:rPr>
  </w:style>
  <w:style w:type="paragraph" w:styleId="Quote">
    <w:name w:val="Quote"/>
    <w:basedOn w:val="Normal"/>
    <w:next w:val="Normal"/>
    <w:link w:val="QuoteChar"/>
    <w:uiPriority w:val="29"/>
    <w:qFormat/>
    <w:rsid w:val="00ED4ED0"/>
    <w:rPr>
      <w:i/>
      <w:iCs/>
      <w:color w:val="000000" w:themeColor="text1"/>
    </w:rPr>
  </w:style>
  <w:style w:type="character" w:customStyle="1" w:styleId="QuoteChar">
    <w:name w:val="Quote Char"/>
    <w:basedOn w:val="DefaultParagraphFont"/>
    <w:link w:val="Quote"/>
    <w:uiPriority w:val="29"/>
    <w:rsid w:val="00ED4ED0"/>
    <w:rPr>
      <w:i/>
      <w:iCs/>
      <w:color w:val="000000" w:themeColor="text1"/>
      <w:szCs w:val="20"/>
    </w:rPr>
  </w:style>
  <w:style w:type="character" w:styleId="CommentReference">
    <w:name w:val="annotation reference"/>
    <w:basedOn w:val="DefaultParagraphFont"/>
    <w:uiPriority w:val="99"/>
    <w:semiHidden/>
    <w:unhideWhenUsed/>
    <w:rsid w:val="00255A6C"/>
    <w:rPr>
      <w:sz w:val="16"/>
      <w:szCs w:val="16"/>
    </w:rPr>
  </w:style>
  <w:style w:type="paragraph" w:styleId="CommentText">
    <w:name w:val="annotation text"/>
    <w:basedOn w:val="Normal"/>
    <w:link w:val="CommentTextChar"/>
    <w:uiPriority w:val="99"/>
    <w:semiHidden/>
    <w:unhideWhenUsed/>
    <w:rsid w:val="00255A6C"/>
    <w:pPr>
      <w:spacing w:line="240" w:lineRule="auto"/>
    </w:pPr>
    <w:rPr>
      <w:sz w:val="20"/>
    </w:rPr>
  </w:style>
  <w:style w:type="character" w:customStyle="1" w:styleId="CommentTextChar">
    <w:name w:val="Comment Text Char"/>
    <w:basedOn w:val="DefaultParagraphFont"/>
    <w:link w:val="CommentText"/>
    <w:uiPriority w:val="99"/>
    <w:semiHidden/>
    <w:rsid w:val="00255A6C"/>
    <w:rPr>
      <w:sz w:val="20"/>
      <w:szCs w:val="20"/>
    </w:rPr>
  </w:style>
  <w:style w:type="paragraph" w:styleId="CommentSubject">
    <w:name w:val="annotation subject"/>
    <w:basedOn w:val="CommentText"/>
    <w:next w:val="CommentText"/>
    <w:link w:val="CommentSubjectChar"/>
    <w:uiPriority w:val="99"/>
    <w:semiHidden/>
    <w:unhideWhenUsed/>
    <w:rsid w:val="00255A6C"/>
    <w:rPr>
      <w:b/>
      <w:bCs/>
    </w:rPr>
  </w:style>
  <w:style w:type="character" w:customStyle="1" w:styleId="CommentSubjectChar">
    <w:name w:val="Comment Subject Char"/>
    <w:basedOn w:val="CommentTextChar"/>
    <w:link w:val="CommentSubject"/>
    <w:uiPriority w:val="99"/>
    <w:semiHidden/>
    <w:rsid w:val="00255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 w:id="1489706738">
      <w:bodyDiv w:val="1"/>
      <w:marLeft w:val="0"/>
      <w:marRight w:val="0"/>
      <w:marTop w:val="0"/>
      <w:marBottom w:val="0"/>
      <w:divBdr>
        <w:top w:val="none" w:sz="0" w:space="0" w:color="auto"/>
        <w:left w:val="none" w:sz="0" w:space="0" w:color="auto"/>
        <w:bottom w:val="none" w:sz="0" w:space="0" w:color="auto"/>
        <w:right w:val="none" w:sz="0" w:space="0" w:color="auto"/>
      </w:divBdr>
    </w:div>
    <w:div w:id="19687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iq.org"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ediaaccess.org.au" TargetMode="External"/><Relationship Id="rId17" Type="http://schemas.openxmlformats.org/officeDocument/2006/relationships/hyperlink" Target="http://www.digitalaccessibilityservices.com.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pthat.org.au"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audiodescription.com.au" TargetMode="External"/><Relationship Id="rId23"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igitalaccessibilityservices.com.au" TargetMode="External"/><Relationship Id="rId22" Type="http://schemas.openxmlformats.org/officeDocument/2006/relationships/image" Target="media/image5.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yne.woodford\AppData\Roaming\Microsoft\Templates\Full%20MAA_July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C520-AC49-4B15-A9C6-2CD77349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MAA_July2013</Template>
  <TotalTime>190</TotalTime>
  <Pages>34</Pages>
  <Words>8219</Words>
  <Characters>46850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2015 MAA annual report</vt:lpstr>
    </vt:vector>
  </TitlesOfParts>
  <Company>Netspin Multimedia</Company>
  <LinksUpToDate>false</LinksUpToDate>
  <CharactersWithSpaces>54960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MAA annual report</dc:title>
  <dc:creator>Allayne Woodford</dc:creator>
  <cp:lastModifiedBy>Allayne Woodford</cp:lastModifiedBy>
  <cp:revision>14</cp:revision>
  <cp:lastPrinted>2015-11-15T23:59:00Z</cp:lastPrinted>
  <dcterms:created xsi:type="dcterms:W3CDTF">2015-11-03T00:04:00Z</dcterms:created>
  <dcterms:modified xsi:type="dcterms:W3CDTF">2015-11-16T00:32:00Z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